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46BF9">
      <w:pPr>
        <w:spacing w:line="560" w:lineRule="exact"/>
        <w:rPr>
          <w:rFonts w:ascii="黑体" w:hAnsi="仿宋" w:eastAsia="黑体" w:cs="仿宋"/>
          <w:sz w:val="32"/>
          <w:szCs w:val="32"/>
        </w:rPr>
      </w:pPr>
      <w:r>
        <w:rPr>
          <w:rFonts w:hint="eastAsia" w:ascii="黑体" w:hAnsi="仿宋" w:eastAsia="黑体" w:cs="仿宋"/>
          <w:sz w:val="32"/>
          <w:szCs w:val="32"/>
        </w:rPr>
        <w:t>附表</w:t>
      </w:r>
    </w:p>
    <w:p w14:paraId="6DAF040C">
      <w:pPr>
        <w:spacing w:line="400" w:lineRule="exact"/>
        <w:ind w:left="-18" w:leftChars="-100" w:right="-208" w:rightChars="-99" w:hanging="192" w:hangingChars="56"/>
        <w:jc w:val="center"/>
        <w:rPr>
          <w:rFonts w:hint="eastAsia" w:ascii="黑体" w:hAnsi="黑体" w:eastAsia="黑体" w:cs="黑体"/>
          <w:spacing w:val="-8"/>
          <w:sz w:val="36"/>
          <w:szCs w:val="36"/>
        </w:rPr>
      </w:pPr>
      <w:r>
        <w:rPr>
          <w:rFonts w:hint="eastAsia" w:ascii="黑体" w:hAnsi="黑体" w:eastAsia="黑体" w:cs="黑体"/>
          <w:spacing w:val="-8"/>
          <w:sz w:val="36"/>
          <w:szCs w:val="36"/>
        </w:rPr>
        <w:t>招生专业及说明</w:t>
      </w:r>
    </w:p>
    <w:p w14:paraId="6E3B4355">
      <w:pPr>
        <w:spacing w:line="560" w:lineRule="exact"/>
        <w:jc w:val="center"/>
        <w:rPr>
          <w:rFonts w:ascii="黑体" w:hAnsi="仿宋" w:eastAsia="黑体" w:cs="仿宋"/>
          <w:sz w:val="36"/>
          <w:szCs w:val="36"/>
        </w:rPr>
      </w:pPr>
    </w:p>
    <w:p w14:paraId="72930132">
      <w:pPr>
        <w:spacing w:line="360" w:lineRule="auto"/>
        <w:rPr>
          <w:rFonts w:ascii="黑体" w:hAnsi="华文中宋" w:eastAsia="黑体"/>
          <w:b/>
          <w:sz w:val="28"/>
          <w:szCs w:val="28"/>
        </w:rPr>
      </w:pPr>
      <w:r>
        <w:rPr>
          <w:rFonts w:hint="eastAsia" w:ascii="黑体" w:hAnsi="华文中宋" w:eastAsia="黑体"/>
          <w:b/>
          <w:sz w:val="28"/>
          <w:szCs w:val="28"/>
        </w:rPr>
        <w:t>一、</w:t>
      </w:r>
      <w:r>
        <w:rPr>
          <w:rFonts w:hint="eastAsia" w:ascii="黑体" w:hAnsi="华文中宋" w:eastAsia="黑体"/>
          <w:b/>
          <w:sz w:val="28"/>
          <w:szCs w:val="28"/>
          <w:lang w:val="en-US" w:eastAsia="zh-CN"/>
        </w:rPr>
        <w:t>2025</w:t>
      </w:r>
      <w:r>
        <w:rPr>
          <w:rFonts w:hint="eastAsia" w:ascii="黑体" w:hAnsi="华文中宋" w:eastAsia="黑体"/>
          <w:b/>
          <w:sz w:val="28"/>
          <w:szCs w:val="28"/>
        </w:rPr>
        <w:t>年拟招生专业</w:t>
      </w:r>
      <w:bookmarkStart w:id="0" w:name="_GoBack"/>
      <w:bookmarkEnd w:id="0"/>
    </w:p>
    <w:tbl>
      <w:tblPr>
        <w:tblStyle w:val="4"/>
        <w:tblW w:w="7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750"/>
        <w:gridCol w:w="862"/>
        <w:gridCol w:w="1082"/>
        <w:gridCol w:w="1276"/>
        <w:gridCol w:w="1701"/>
      </w:tblGrid>
      <w:tr w14:paraId="6AC0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90" w:type="dxa"/>
            <w:vAlign w:val="center"/>
          </w:tcPr>
          <w:p w14:paraId="0CA1DBF8">
            <w:pPr>
              <w:jc w:val="center"/>
              <w:rPr>
                <w:rFonts w:ascii="仿宋" w:hAnsi="仿宋" w:eastAsia="仿宋"/>
                <w:b/>
                <w:sz w:val="24"/>
                <w:szCs w:val="24"/>
              </w:rPr>
            </w:pPr>
            <w:r>
              <w:rPr>
                <w:rFonts w:hint="eastAsia" w:ascii="仿宋" w:hAnsi="仿宋" w:eastAsia="仿宋"/>
                <w:b/>
                <w:sz w:val="24"/>
                <w:szCs w:val="24"/>
              </w:rPr>
              <w:t>学历层次</w:t>
            </w:r>
          </w:p>
        </w:tc>
        <w:tc>
          <w:tcPr>
            <w:tcW w:w="1750" w:type="dxa"/>
            <w:vAlign w:val="center"/>
          </w:tcPr>
          <w:p w14:paraId="388075DD">
            <w:pPr>
              <w:jc w:val="center"/>
              <w:rPr>
                <w:rFonts w:ascii="仿宋" w:hAnsi="仿宋" w:eastAsia="仿宋"/>
                <w:b/>
                <w:sz w:val="24"/>
                <w:szCs w:val="24"/>
              </w:rPr>
            </w:pPr>
            <w:r>
              <w:rPr>
                <w:rFonts w:hint="eastAsia" w:ascii="仿宋" w:hAnsi="仿宋" w:eastAsia="仿宋"/>
                <w:b/>
                <w:sz w:val="24"/>
                <w:szCs w:val="24"/>
              </w:rPr>
              <w:t>专业名称</w:t>
            </w:r>
          </w:p>
        </w:tc>
        <w:tc>
          <w:tcPr>
            <w:tcW w:w="862" w:type="dxa"/>
            <w:vAlign w:val="center"/>
          </w:tcPr>
          <w:p w14:paraId="33365EAD">
            <w:pPr>
              <w:jc w:val="center"/>
              <w:rPr>
                <w:rFonts w:ascii="仿宋" w:hAnsi="仿宋" w:eastAsia="仿宋"/>
                <w:b/>
                <w:sz w:val="24"/>
                <w:szCs w:val="24"/>
              </w:rPr>
            </w:pPr>
            <w:r>
              <w:rPr>
                <w:rFonts w:hint="eastAsia" w:ascii="仿宋" w:hAnsi="仿宋" w:eastAsia="仿宋"/>
                <w:b/>
                <w:sz w:val="24"/>
                <w:szCs w:val="24"/>
              </w:rPr>
              <w:t>学制</w:t>
            </w:r>
          </w:p>
        </w:tc>
        <w:tc>
          <w:tcPr>
            <w:tcW w:w="1082" w:type="dxa"/>
            <w:vAlign w:val="center"/>
          </w:tcPr>
          <w:p w14:paraId="47DADFF3">
            <w:pPr>
              <w:jc w:val="center"/>
              <w:rPr>
                <w:rFonts w:ascii="仿宋" w:hAnsi="仿宋" w:eastAsia="仿宋"/>
                <w:b/>
                <w:sz w:val="24"/>
                <w:szCs w:val="24"/>
              </w:rPr>
            </w:pPr>
            <w:r>
              <w:rPr>
                <w:rFonts w:hint="eastAsia" w:ascii="仿宋" w:hAnsi="仿宋" w:eastAsia="仿宋"/>
                <w:b/>
                <w:sz w:val="24"/>
                <w:szCs w:val="24"/>
              </w:rPr>
              <w:t>最短学习年限</w:t>
            </w:r>
          </w:p>
        </w:tc>
        <w:tc>
          <w:tcPr>
            <w:tcW w:w="1276" w:type="dxa"/>
            <w:vAlign w:val="center"/>
          </w:tcPr>
          <w:p w14:paraId="32CE4399">
            <w:pPr>
              <w:jc w:val="center"/>
              <w:rPr>
                <w:rFonts w:ascii="仿宋" w:hAnsi="仿宋" w:eastAsia="仿宋"/>
                <w:b/>
                <w:sz w:val="24"/>
                <w:szCs w:val="24"/>
              </w:rPr>
            </w:pPr>
            <w:r>
              <w:rPr>
                <w:rFonts w:hint="eastAsia" w:ascii="仿宋" w:hAnsi="仿宋" w:eastAsia="仿宋"/>
                <w:b/>
                <w:sz w:val="24"/>
                <w:szCs w:val="24"/>
              </w:rPr>
              <w:t>学习形式</w:t>
            </w:r>
          </w:p>
        </w:tc>
        <w:tc>
          <w:tcPr>
            <w:tcW w:w="1701" w:type="dxa"/>
            <w:vAlign w:val="center"/>
          </w:tcPr>
          <w:p w14:paraId="2E0401A6">
            <w:pPr>
              <w:jc w:val="center"/>
              <w:rPr>
                <w:rFonts w:ascii="仿宋" w:hAnsi="仿宋" w:eastAsia="仿宋"/>
                <w:b/>
                <w:sz w:val="24"/>
                <w:szCs w:val="24"/>
              </w:rPr>
            </w:pPr>
            <w:r>
              <w:rPr>
                <w:rFonts w:hint="eastAsia" w:ascii="仿宋" w:hAnsi="仿宋" w:eastAsia="仿宋"/>
                <w:b/>
                <w:sz w:val="24"/>
                <w:szCs w:val="24"/>
              </w:rPr>
              <w:t>考试科目</w:t>
            </w:r>
          </w:p>
        </w:tc>
      </w:tr>
      <w:tr w14:paraId="0997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90" w:type="dxa"/>
            <w:vMerge w:val="restart"/>
            <w:vAlign w:val="center"/>
          </w:tcPr>
          <w:p w14:paraId="2092D35D">
            <w:pPr>
              <w:rPr>
                <w:rFonts w:ascii="仿宋" w:hAnsi="仿宋" w:eastAsia="仿宋"/>
                <w:bCs/>
                <w:sz w:val="24"/>
                <w:szCs w:val="24"/>
              </w:rPr>
            </w:pPr>
            <w:r>
              <w:rPr>
                <w:rFonts w:hint="eastAsia" w:ascii="仿宋" w:hAnsi="仿宋" w:eastAsia="仿宋"/>
                <w:bCs/>
                <w:sz w:val="24"/>
                <w:szCs w:val="24"/>
              </w:rPr>
              <w:t>本科</w:t>
            </w:r>
          </w:p>
        </w:tc>
        <w:tc>
          <w:tcPr>
            <w:tcW w:w="1750" w:type="dxa"/>
            <w:vAlign w:val="center"/>
          </w:tcPr>
          <w:p w14:paraId="3BC363AA">
            <w:pPr>
              <w:jc w:val="center"/>
              <w:rPr>
                <w:rFonts w:ascii="仿宋" w:hAnsi="仿宋" w:eastAsia="仿宋"/>
                <w:bCs/>
                <w:sz w:val="24"/>
                <w:szCs w:val="24"/>
              </w:rPr>
            </w:pPr>
            <w:r>
              <w:rPr>
                <w:rFonts w:hint="eastAsia" w:ascii="仿宋" w:hAnsi="仿宋" w:eastAsia="仿宋"/>
                <w:bCs/>
                <w:sz w:val="24"/>
                <w:szCs w:val="24"/>
              </w:rPr>
              <w:t>会计学</w:t>
            </w:r>
          </w:p>
        </w:tc>
        <w:tc>
          <w:tcPr>
            <w:tcW w:w="862" w:type="dxa"/>
            <w:vMerge w:val="restart"/>
            <w:vAlign w:val="center"/>
          </w:tcPr>
          <w:p w14:paraId="51D3322B">
            <w:pPr>
              <w:jc w:val="center"/>
              <w:rPr>
                <w:rFonts w:ascii="仿宋" w:hAnsi="仿宋" w:eastAsia="仿宋"/>
                <w:bCs/>
                <w:sz w:val="24"/>
                <w:szCs w:val="24"/>
                <w:highlight w:val="yellow"/>
              </w:rPr>
            </w:pPr>
            <w:r>
              <w:rPr>
                <w:rFonts w:ascii="仿宋" w:hAnsi="仿宋" w:eastAsia="仿宋"/>
                <w:bCs/>
                <w:sz w:val="24"/>
                <w:szCs w:val="24"/>
              </w:rPr>
              <w:t>2.5</w:t>
            </w:r>
            <w:r>
              <w:rPr>
                <w:rFonts w:hint="eastAsia" w:ascii="仿宋" w:hAnsi="仿宋" w:eastAsia="仿宋"/>
                <w:bCs/>
                <w:sz w:val="24"/>
                <w:szCs w:val="24"/>
              </w:rPr>
              <w:t>年</w:t>
            </w:r>
          </w:p>
        </w:tc>
        <w:tc>
          <w:tcPr>
            <w:tcW w:w="1082" w:type="dxa"/>
            <w:vMerge w:val="restart"/>
            <w:vAlign w:val="center"/>
          </w:tcPr>
          <w:p w14:paraId="2E388B6A">
            <w:pPr>
              <w:jc w:val="center"/>
              <w:rPr>
                <w:rFonts w:ascii="仿宋" w:hAnsi="仿宋" w:eastAsia="仿宋"/>
                <w:bCs/>
                <w:sz w:val="24"/>
                <w:szCs w:val="24"/>
              </w:rPr>
            </w:pPr>
            <w:r>
              <w:rPr>
                <w:rFonts w:hint="eastAsia" w:ascii="仿宋" w:hAnsi="仿宋" w:eastAsia="仿宋"/>
                <w:bCs/>
                <w:sz w:val="24"/>
                <w:szCs w:val="24"/>
              </w:rPr>
              <w:t>2.5年</w:t>
            </w:r>
          </w:p>
        </w:tc>
        <w:tc>
          <w:tcPr>
            <w:tcW w:w="1276" w:type="dxa"/>
            <w:vMerge w:val="restart"/>
            <w:vAlign w:val="center"/>
          </w:tcPr>
          <w:p w14:paraId="23852D3A">
            <w:pPr>
              <w:jc w:val="center"/>
              <w:rPr>
                <w:rFonts w:hint="eastAsia" w:ascii="仿宋" w:hAnsi="仿宋" w:eastAsia="仿宋"/>
                <w:bCs/>
                <w:sz w:val="24"/>
                <w:szCs w:val="24"/>
                <w:lang w:eastAsia="zh-CN"/>
              </w:rPr>
            </w:pPr>
            <w:r>
              <w:rPr>
                <w:rFonts w:hint="eastAsia" w:ascii="仿宋" w:hAnsi="仿宋" w:eastAsia="仿宋"/>
                <w:bCs/>
                <w:sz w:val="24"/>
                <w:szCs w:val="24"/>
                <w:lang w:val="en-US" w:eastAsia="zh-CN"/>
              </w:rPr>
              <w:t>非脱产</w:t>
            </w:r>
          </w:p>
        </w:tc>
        <w:tc>
          <w:tcPr>
            <w:tcW w:w="1701" w:type="dxa"/>
            <w:vMerge w:val="restart"/>
            <w:vAlign w:val="center"/>
          </w:tcPr>
          <w:p w14:paraId="2EEE5DF9">
            <w:pPr>
              <w:jc w:val="center"/>
              <w:rPr>
                <w:rFonts w:ascii="仿宋" w:hAnsi="仿宋" w:eastAsia="仿宋"/>
                <w:bCs/>
                <w:sz w:val="24"/>
                <w:szCs w:val="24"/>
              </w:rPr>
            </w:pPr>
            <w:r>
              <w:rPr>
                <w:rFonts w:hint="eastAsia" w:ascii="仿宋" w:hAnsi="仿宋" w:eastAsia="仿宋"/>
                <w:bCs/>
                <w:sz w:val="24"/>
                <w:szCs w:val="24"/>
              </w:rPr>
              <w:t>政治、英语、高等数学（二）</w:t>
            </w:r>
          </w:p>
        </w:tc>
      </w:tr>
      <w:tr w14:paraId="386B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90" w:type="dxa"/>
            <w:vMerge w:val="continue"/>
            <w:vAlign w:val="center"/>
          </w:tcPr>
          <w:p w14:paraId="229A5C19">
            <w:pPr>
              <w:rPr>
                <w:rFonts w:ascii="仿宋" w:hAnsi="仿宋" w:eastAsia="仿宋"/>
                <w:bCs/>
                <w:sz w:val="24"/>
                <w:szCs w:val="24"/>
              </w:rPr>
            </w:pPr>
          </w:p>
        </w:tc>
        <w:tc>
          <w:tcPr>
            <w:tcW w:w="1750" w:type="dxa"/>
            <w:vAlign w:val="center"/>
          </w:tcPr>
          <w:p w14:paraId="16CBEE72">
            <w:pPr>
              <w:jc w:val="center"/>
              <w:rPr>
                <w:rFonts w:ascii="仿宋" w:hAnsi="仿宋" w:eastAsia="仿宋"/>
                <w:bCs/>
                <w:sz w:val="24"/>
                <w:szCs w:val="24"/>
              </w:rPr>
            </w:pPr>
            <w:r>
              <w:rPr>
                <w:rFonts w:hint="eastAsia" w:ascii="仿宋" w:hAnsi="仿宋" w:eastAsia="仿宋"/>
                <w:bCs/>
                <w:sz w:val="24"/>
                <w:szCs w:val="24"/>
              </w:rPr>
              <w:t>财务管理</w:t>
            </w:r>
          </w:p>
        </w:tc>
        <w:tc>
          <w:tcPr>
            <w:tcW w:w="862" w:type="dxa"/>
            <w:vMerge w:val="continue"/>
            <w:vAlign w:val="center"/>
          </w:tcPr>
          <w:p w14:paraId="28874A35">
            <w:pPr>
              <w:jc w:val="center"/>
              <w:rPr>
                <w:rFonts w:ascii="仿宋" w:hAnsi="仿宋" w:eastAsia="仿宋"/>
                <w:bCs/>
                <w:sz w:val="24"/>
                <w:szCs w:val="24"/>
              </w:rPr>
            </w:pPr>
          </w:p>
        </w:tc>
        <w:tc>
          <w:tcPr>
            <w:tcW w:w="1082" w:type="dxa"/>
            <w:vMerge w:val="continue"/>
            <w:vAlign w:val="center"/>
          </w:tcPr>
          <w:p w14:paraId="69368EF8">
            <w:pPr>
              <w:jc w:val="center"/>
              <w:rPr>
                <w:rFonts w:ascii="仿宋" w:hAnsi="仿宋" w:eastAsia="仿宋"/>
                <w:bCs/>
                <w:sz w:val="24"/>
                <w:szCs w:val="24"/>
              </w:rPr>
            </w:pPr>
          </w:p>
        </w:tc>
        <w:tc>
          <w:tcPr>
            <w:tcW w:w="1276" w:type="dxa"/>
            <w:vMerge w:val="continue"/>
            <w:vAlign w:val="center"/>
          </w:tcPr>
          <w:p w14:paraId="6D17B761">
            <w:pPr>
              <w:jc w:val="center"/>
              <w:rPr>
                <w:rFonts w:ascii="仿宋" w:hAnsi="仿宋" w:eastAsia="仿宋"/>
                <w:bCs/>
                <w:sz w:val="24"/>
                <w:szCs w:val="24"/>
              </w:rPr>
            </w:pPr>
          </w:p>
        </w:tc>
        <w:tc>
          <w:tcPr>
            <w:tcW w:w="1701" w:type="dxa"/>
            <w:vMerge w:val="continue"/>
            <w:vAlign w:val="center"/>
          </w:tcPr>
          <w:p w14:paraId="41E2E4AC">
            <w:pPr>
              <w:jc w:val="center"/>
              <w:rPr>
                <w:rFonts w:ascii="仿宋" w:hAnsi="仿宋" w:eastAsia="仿宋"/>
                <w:bCs/>
                <w:sz w:val="24"/>
                <w:szCs w:val="24"/>
              </w:rPr>
            </w:pPr>
          </w:p>
        </w:tc>
      </w:tr>
      <w:tr w14:paraId="150B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90" w:type="dxa"/>
            <w:vMerge w:val="continue"/>
            <w:vAlign w:val="center"/>
          </w:tcPr>
          <w:p w14:paraId="0C0CF4D4">
            <w:pPr>
              <w:rPr>
                <w:rFonts w:ascii="仿宋" w:hAnsi="仿宋" w:eastAsia="仿宋"/>
                <w:bCs/>
                <w:sz w:val="24"/>
                <w:szCs w:val="24"/>
              </w:rPr>
            </w:pPr>
          </w:p>
        </w:tc>
        <w:tc>
          <w:tcPr>
            <w:tcW w:w="1750" w:type="dxa"/>
            <w:vAlign w:val="center"/>
          </w:tcPr>
          <w:p w14:paraId="68192DB9">
            <w:pPr>
              <w:jc w:val="center"/>
              <w:rPr>
                <w:rFonts w:ascii="仿宋" w:hAnsi="仿宋" w:eastAsia="仿宋"/>
                <w:bCs/>
                <w:sz w:val="24"/>
                <w:szCs w:val="24"/>
              </w:rPr>
            </w:pPr>
            <w:r>
              <w:rPr>
                <w:rFonts w:hint="eastAsia" w:ascii="仿宋" w:hAnsi="仿宋" w:eastAsia="仿宋"/>
                <w:bCs/>
                <w:sz w:val="24"/>
                <w:szCs w:val="24"/>
              </w:rPr>
              <w:t>工程管理</w:t>
            </w:r>
          </w:p>
        </w:tc>
        <w:tc>
          <w:tcPr>
            <w:tcW w:w="862" w:type="dxa"/>
            <w:vMerge w:val="continue"/>
            <w:vAlign w:val="center"/>
          </w:tcPr>
          <w:p w14:paraId="28FC01B4">
            <w:pPr>
              <w:jc w:val="center"/>
              <w:rPr>
                <w:rFonts w:ascii="仿宋" w:hAnsi="仿宋" w:eastAsia="仿宋"/>
                <w:bCs/>
                <w:sz w:val="24"/>
                <w:szCs w:val="24"/>
              </w:rPr>
            </w:pPr>
          </w:p>
        </w:tc>
        <w:tc>
          <w:tcPr>
            <w:tcW w:w="1082" w:type="dxa"/>
            <w:vMerge w:val="continue"/>
            <w:vAlign w:val="center"/>
          </w:tcPr>
          <w:p w14:paraId="66DA14A7">
            <w:pPr>
              <w:jc w:val="center"/>
              <w:rPr>
                <w:rFonts w:ascii="仿宋" w:hAnsi="仿宋" w:eastAsia="仿宋"/>
                <w:bCs/>
                <w:sz w:val="24"/>
                <w:szCs w:val="24"/>
              </w:rPr>
            </w:pPr>
          </w:p>
        </w:tc>
        <w:tc>
          <w:tcPr>
            <w:tcW w:w="1276" w:type="dxa"/>
            <w:vMerge w:val="continue"/>
            <w:vAlign w:val="center"/>
          </w:tcPr>
          <w:p w14:paraId="575748B2">
            <w:pPr>
              <w:ind w:firstLine="588" w:firstLineChars="245"/>
              <w:jc w:val="center"/>
              <w:rPr>
                <w:rFonts w:ascii="仿宋" w:hAnsi="仿宋" w:eastAsia="仿宋"/>
                <w:bCs/>
                <w:sz w:val="24"/>
                <w:szCs w:val="24"/>
              </w:rPr>
            </w:pPr>
          </w:p>
        </w:tc>
        <w:tc>
          <w:tcPr>
            <w:tcW w:w="1701" w:type="dxa"/>
            <w:vMerge w:val="continue"/>
            <w:vAlign w:val="center"/>
          </w:tcPr>
          <w:p w14:paraId="4A8CC26F">
            <w:pPr>
              <w:ind w:firstLine="588" w:firstLineChars="245"/>
              <w:jc w:val="center"/>
              <w:rPr>
                <w:rFonts w:ascii="仿宋" w:hAnsi="仿宋" w:eastAsia="仿宋"/>
                <w:bCs/>
                <w:sz w:val="24"/>
                <w:szCs w:val="24"/>
              </w:rPr>
            </w:pPr>
          </w:p>
        </w:tc>
      </w:tr>
      <w:tr w14:paraId="6700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90" w:type="dxa"/>
            <w:vMerge w:val="continue"/>
            <w:vAlign w:val="center"/>
          </w:tcPr>
          <w:p w14:paraId="6BC8F911">
            <w:pPr>
              <w:rPr>
                <w:rFonts w:ascii="仿宋" w:hAnsi="仿宋" w:eastAsia="仿宋"/>
                <w:bCs/>
                <w:sz w:val="24"/>
                <w:szCs w:val="24"/>
              </w:rPr>
            </w:pPr>
          </w:p>
        </w:tc>
        <w:tc>
          <w:tcPr>
            <w:tcW w:w="1750" w:type="dxa"/>
            <w:vAlign w:val="center"/>
          </w:tcPr>
          <w:p w14:paraId="6EB8C7AD">
            <w:pPr>
              <w:jc w:val="center"/>
              <w:rPr>
                <w:rFonts w:hint="eastAsia" w:ascii="仿宋" w:hAnsi="仿宋" w:eastAsia="仿宋"/>
                <w:bCs/>
                <w:sz w:val="24"/>
                <w:szCs w:val="24"/>
              </w:rPr>
            </w:pPr>
            <w:r>
              <w:rPr>
                <w:rFonts w:hint="eastAsia" w:ascii="仿宋" w:hAnsi="仿宋" w:eastAsia="仿宋"/>
                <w:bCs/>
                <w:sz w:val="24"/>
                <w:szCs w:val="24"/>
              </w:rPr>
              <w:t>人力资源管理</w:t>
            </w:r>
          </w:p>
        </w:tc>
        <w:tc>
          <w:tcPr>
            <w:tcW w:w="862" w:type="dxa"/>
            <w:vMerge w:val="continue"/>
            <w:vAlign w:val="center"/>
          </w:tcPr>
          <w:p w14:paraId="7B05CC68">
            <w:pPr>
              <w:jc w:val="center"/>
              <w:rPr>
                <w:rFonts w:ascii="仿宋" w:hAnsi="仿宋" w:eastAsia="仿宋"/>
                <w:bCs/>
                <w:sz w:val="24"/>
                <w:szCs w:val="24"/>
              </w:rPr>
            </w:pPr>
          </w:p>
        </w:tc>
        <w:tc>
          <w:tcPr>
            <w:tcW w:w="1082" w:type="dxa"/>
            <w:vMerge w:val="continue"/>
            <w:vAlign w:val="center"/>
          </w:tcPr>
          <w:p w14:paraId="57197367">
            <w:pPr>
              <w:jc w:val="center"/>
              <w:rPr>
                <w:rFonts w:ascii="仿宋" w:hAnsi="仿宋" w:eastAsia="仿宋"/>
                <w:bCs/>
                <w:sz w:val="24"/>
                <w:szCs w:val="24"/>
              </w:rPr>
            </w:pPr>
          </w:p>
        </w:tc>
        <w:tc>
          <w:tcPr>
            <w:tcW w:w="1276" w:type="dxa"/>
            <w:vMerge w:val="continue"/>
            <w:vAlign w:val="center"/>
          </w:tcPr>
          <w:p w14:paraId="692E0575">
            <w:pPr>
              <w:ind w:firstLine="588" w:firstLineChars="245"/>
              <w:jc w:val="center"/>
              <w:rPr>
                <w:rFonts w:ascii="仿宋" w:hAnsi="仿宋" w:eastAsia="仿宋"/>
                <w:bCs/>
                <w:sz w:val="24"/>
                <w:szCs w:val="24"/>
              </w:rPr>
            </w:pPr>
          </w:p>
        </w:tc>
        <w:tc>
          <w:tcPr>
            <w:tcW w:w="1701" w:type="dxa"/>
            <w:vMerge w:val="continue"/>
            <w:vAlign w:val="center"/>
          </w:tcPr>
          <w:p w14:paraId="03A665C8">
            <w:pPr>
              <w:ind w:firstLine="588" w:firstLineChars="245"/>
              <w:jc w:val="center"/>
              <w:rPr>
                <w:rFonts w:ascii="仿宋" w:hAnsi="仿宋" w:eastAsia="仿宋"/>
                <w:bCs/>
                <w:sz w:val="24"/>
                <w:szCs w:val="24"/>
              </w:rPr>
            </w:pPr>
          </w:p>
        </w:tc>
      </w:tr>
    </w:tbl>
    <w:p w14:paraId="478CF3B6">
      <w:pPr>
        <w:spacing w:line="360" w:lineRule="auto"/>
        <w:rPr>
          <w:rFonts w:ascii="黑体" w:hAnsi="华文中宋" w:eastAsia="黑体"/>
          <w:b/>
          <w:sz w:val="28"/>
          <w:szCs w:val="28"/>
        </w:rPr>
      </w:pPr>
    </w:p>
    <w:p w14:paraId="0A6800C1">
      <w:pPr>
        <w:spacing w:line="360" w:lineRule="auto"/>
      </w:pPr>
      <w:r>
        <w:rPr>
          <w:rFonts w:hint="eastAsia" w:ascii="黑体" w:hAnsi="华文中宋" w:eastAsia="黑体"/>
          <w:b/>
          <w:sz w:val="28"/>
          <w:szCs w:val="28"/>
        </w:rPr>
        <w:t>二、学习站点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651"/>
        <w:gridCol w:w="2299"/>
        <w:gridCol w:w="1694"/>
      </w:tblGrid>
      <w:tr w14:paraId="4A05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restart"/>
            <w:vAlign w:val="center"/>
          </w:tcPr>
          <w:p w14:paraId="52F19386">
            <w:pPr>
              <w:jc w:val="center"/>
              <w:rPr>
                <w:rFonts w:ascii="仿宋" w:hAnsi="仿宋" w:eastAsia="仿宋"/>
                <w:b/>
                <w:sz w:val="24"/>
                <w:szCs w:val="24"/>
              </w:rPr>
            </w:pPr>
            <w:r>
              <w:rPr>
                <w:rFonts w:hint="eastAsia" w:ascii="仿宋" w:hAnsi="仿宋" w:eastAsia="仿宋"/>
                <w:b/>
                <w:sz w:val="24"/>
                <w:szCs w:val="24"/>
              </w:rPr>
              <w:t>序号</w:t>
            </w:r>
          </w:p>
        </w:tc>
        <w:tc>
          <w:tcPr>
            <w:tcW w:w="2651" w:type="dxa"/>
            <w:vMerge w:val="restart"/>
            <w:vAlign w:val="center"/>
          </w:tcPr>
          <w:p w14:paraId="18B56A5A">
            <w:pPr>
              <w:jc w:val="center"/>
              <w:rPr>
                <w:rFonts w:ascii="仿宋" w:hAnsi="仿宋" w:eastAsia="仿宋"/>
                <w:b/>
                <w:sz w:val="24"/>
                <w:szCs w:val="24"/>
              </w:rPr>
            </w:pPr>
            <w:r>
              <w:rPr>
                <w:rFonts w:hint="eastAsia" w:ascii="仿宋" w:hAnsi="仿宋" w:eastAsia="仿宋"/>
                <w:b/>
                <w:sz w:val="24"/>
                <w:szCs w:val="24"/>
              </w:rPr>
              <w:t>教学点名称</w:t>
            </w:r>
          </w:p>
        </w:tc>
        <w:tc>
          <w:tcPr>
            <w:tcW w:w="2299" w:type="dxa"/>
            <w:vMerge w:val="restart"/>
            <w:vAlign w:val="center"/>
          </w:tcPr>
          <w:p w14:paraId="02BDBD0A">
            <w:pPr>
              <w:jc w:val="center"/>
              <w:rPr>
                <w:rFonts w:ascii="仿宋" w:hAnsi="仿宋" w:eastAsia="仿宋"/>
                <w:b/>
                <w:sz w:val="24"/>
                <w:szCs w:val="24"/>
              </w:rPr>
            </w:pPr>
            <w:r>
              <w:rPr>
                <w:rFonts w:hint="eastAsia" w:ascii="仿宋" w:hAnsi="仿宋" w:eastAsia="仿宋"/>
                <w:b/>
                <w:sz w:val="24"/>
                <w:szCs w:val="24"/>
              </w:rPr>
              <w:t>地址</w:t>
            </w:r>
          </w:p>
        </w:tc>
        <w:tc>
          <w:tcPr>
            <w:tcW w:w="1694" w:type="dxa"/>
            <w:vMerge w:val="restart"/>
            <w:vAlign w:val="center"/>
          </w:tcPr>
          <w:p w14:paraId="4409E0E7">
            <w:pPr>
              <w:jc w:val="center"/>
              <w:rPr>
                <w:rFonts w:ascii="仿宋" w:hAnsi="仿宋" w:eastAsia="仿宋"/>
                <w:b/>
                <w:sz w:val="24"/>
                <w:szCs w:val="24"/>
              </w:rPr>
            </w:pPr>
            <w:r>
              <w:rPr>
                <w:rFonts w:hint="eastAsia" w:ascii="仿宋" w:hAnsi="仿宋" w:eastAsia="仿宋"/>
                <w:b/>
                <w:sz w:val="24"/>
                <w:szCs w:val="24"/>
              </w:rPr>
              <w:t>联系电话</w:t>
            </w:r>
          </w:p>
        </w:tc>
      </w:tr>
      <w:tr w14:paraId="3644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50" w:type="dxa"/>
            <w:vMerge w:val="continue"/>
            <w:vAlign w:val="center"/>
          </w:tcPr>
          <w:p w14:paraId="5F919ADD">
            <w:pPr>
              <w:jc w:val="center"/>
              <w:rPr>
                <w:rFonts w:ascii="仿宋" w:hAnsi="仿宋" w:eastAsia="仿宋"/>
                <w:bCs/>
                <w:sz w:val="24"/>
                <w:szCs w:val="24"/>
              </w:rPr>
            </w:pPr>
          </w:p>
        </w:tc>
        <w:tc>
          <w:tcPr>
            <w:tcW w:w="2651" w:type="dxa"/>
            <w:vMerge w:val="continue"/>
            <w:vAlign w:val="center"/>
          </w:tcPr>
          <w:p w14:paraId="6FEEED6B">
            <w:pPr>
              <w:jc w:val="center"/>
              <w:rPr>
                <w:rFonts w:ascii="仿宋" w:hAnsi="仿宋" w:eastAsia="仿宋"/>
                <w:bCs/>
                <w:sz w:val="24"/>
                <w:szCs w:val="24"/>
              </w:rPr>
            </w:pPr>
          </w:p>
        </w:tc>
        <w:tc>
          <w:tcPr>
            <w:tcW w:w="2299" w:type="dxa"/>
            <w:vMerge w:val="continue"/>
            <w:vAlign w:val="center"/>
          </w:tcPr>
          <w:p w14:paraId="3C17199B">
            <w:pPr>
              <w:jc w:val="center"/>
              <w:rPr>
                <w:rFonts w:ascii="仿宋" w:hAnsi="仿宋" w:eastAsia="仿宋"/>
                <w:bCs/>
                <w:sz w:val="24"/>
                <w:szCs w:val="24"/>
              </w:rPr>
            </w:pPr>
          </w:p>
        </w:tc>
        <w:tc>
          <w:tcPr>
            <w:tcW w:w="1694" w:type="dxa"/>
            <w:vMerge w:val="continue"/>
            <w:vAlign w:val="center"/>
          </w:tcPr>
          <w:p w14:paraId="5D3E3356">
            <w:pPr>
              <w:jc w:val="center"/>
              <w:rPr>
                <w:rFonts w:ascii="仿宋" w:hAnsi="仿宋" w:eastAsia="仿宋"/>
                <w:bCs/>
                <w:sz w:val="24"/>
                <w:szCs w:val="24"/>
              </w:rPr>
            </w:pPr>
          </w:p>
        </w:tc>
      </w:tr>
      <w:tr w14:paraId="5418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76C62AD6">
            <w:pPr>
              <w:jc w:val="center"/>
              <w:rPr>
                <w:rFonts w:ascii="仿宋" w:hAnsi="仿宋" w:eastAsia="仿宋"/>
                <w:bCs/>
                <w:sz w:val="24"/>
                <w:szCs w:val="24"/>
              </w:rPr>
            </w:pPr>
            <w:r>
              <w:rPr>
                <w:rFonts w:hint="eastAsia" w:ascii="仿宋" w:hAnsi="仿宋" w:eastAsia="仿宋"/>
                <w:bCs/>
                <w:sz w:val="24"/>
                <w:szCs w:val="24"/>
              </w:rPr>
              <w:t>1</w:t>
            </w:r>
          </w:p>
        </w:tc>
        <w:tc>
          <w:tcPr>
            <w:tcW w:w="2651" w:type="dxa"/>
            <w:vAlign w:val="center"/>
          </w:tcPr>
          <w:p w14:paraId="28096634">
            <w:pPr>
              <w:jc w:val="center"/>
              <w:rPr>
                <w:rFonts w:ascii="仿宋" w:hAnsi="仿宋" w:eastAsia="仿宋"/>
                <w:bCs/>
                <w:sz w:val="24"/>
                <w:szCs w:val="24"/>
              </w:rPr>
            </w:pPr>
            <w:r>
              <w:rPr>
                <w:rFonts w:hint="eastAsia" w:ascii="仿宋" w:hAnsi="仿宋" w:eastAsia="仿宋"/>
                <w:bCs/>
                <w:sz w:val="24"/>
                <w:szCs w:val="24"/>
              </w:rPr>
              <w:t>东北财经大学上海市闵行区财会培训中心校外</w:t>
            </w:r>
          </w:p>
          <w:p w14:paraId="2B6654EC">
            <w:pPr>
              <w:jc w:val="center"/>
              <w:rPr>
                <w:rFonts w:ascii="仿宋" w:hAnsi="仿宋" w:eastAsia="仿宋"/>
                <w:bCs/>
                <w:sz w:val="24"/>
                <w:szCs w:val="24"/>
              </w:rPr>
            </w:pPr>
            <w:r>
              <w:rPr>
                <w:rFonts w:hint="eastAsia" w:ascii="仿宋" w:hAnsi="仿宋" w:eastAsia="仿宋"/>
                <w:bCs/>
                <w:sz w:val="24"/>
                <w:szCs w:val="24"/>
              </w:rPr>
              <w:t>教学点</w:t>
            </w:r>
          </w:p>
        </w:tc>
        <w:tc>
          <w:tcPr>
            <w:tcW w:w="2299" w:type="dxa"/>
            <w:vAlign w:val="center"/>
          </w:tcPr>
          <w:p w14:paraId="0FD49AE8">
            <w:pPr>
              <w:rPr>
                <w:rFonts w:ascii="仿宋" w:hAnsi="仿宋" w:eastAsia="仿宋"/>
                <w:bCs/>
                <w:sz w:val="24"/>
                <w:szCs w:val="24"/>
              </w:rPr>
            </w:pPr>
            <w:r>
              <w:rPr>
                <w:rFonts w:hint="eastAsia" w:ascii="仿宋" w:hAnsi="仿宋" w:eastAsia="仿宋"/>
                <w:bCs/>
                <w:sz w:val="24"/>
                <w:szCs w:val="24"/>
              </w:rPr>
              <w:t>闵行区雅致路215号(甬虹路69号)</w:t>
            </w:r>
          </w:p>
        </w:tc>
        <w:tc>
          <w:tcPr>
            <w:tcW w:w="1694" w:type="dxa"/>
            <w:vAlign w:val="center"/>
          </w:tcPr>
          <w:p w14:paraId="391E07AF">
            <w:pPr>
              <w:jc w:val="center"/>
              <w:rPr>
                <w:rFonts w:hint="eastAsia" w:ascii="Arial" w:hAnsi="Arial" w:cs="Arial"/>
                <w:color w:val="555555"/>
                <w:szCs w:val="21"/>
                <w:shd w:val="clear" w:color="auto" w:fill="FFFFFF"/>
              </w:rPr>
            </w:pPr>
            <w:r>
              <w:rPr>
                <w:rFonts w:hint="eastAsia" w:ascii="Arial" w:hAnsi="Arial" w:cs="Arial"/>
                <w:color w:val="555555"/>
                <w:szCs w:val="21"/>
                <w:shd w:val="clear" w:color="auto" w:fill="FFFFFF"/>
              </w:rPr>
              <w:t>021-64134862</w:t>
            </w:r>
          </w:p>
          <w:p w14:paraId="6A478075">
            <w:pPr>
              <w:jc w:val="center"/>
              <w:rPr>
                <w:rFonts w:ascii="仿宋" w:hAnsi="仿宋" w:eastAsia="仿宋"/>
                <w:bCs/>
                <w:sz w:val="24"/>
                <w:szCs w:val="24"/>
                <w:highlight w:val="yellow"/>
              </w:rPr>
            </w:pPr>
            <w:r>
              <w:rPr>
                <w:rFonts w:hint="eastAsia" w:ascii="Arial" w:hAnsi="Arial" w:cs="Arial"/>
                <w:color w:val="555555"/>
                <w:szCs w:val="21"/>
                <w:shd w:val="clear" w:color="auto" w:fill="FFFFFF"/>
              </w:rPr>
              <w:t>13917704402</w:t>
            </w:r>
          </w:p>
        </w:tc>
      </w:tr>
    </w:tbl>
    <w:p w14:paraId="3EE79C02">
      <w:pPr>
        <w:spacing w:line="440" w:lineRule="exact"/>
        <w:ind w:firstLine="411" w:firstLineChars="196"/>
        <w:rPr>
          <w:rFonts w:ascii="仿宋" w:hAnsi="仿宋" w:eastAsia="仿宋"/>
          <w:bCs/>
          <w:szCs w:val="21"/>
        </w:rPr>
      </w:pPr>
      <w:r>
        <w:rPr>
          <w:rFonts w:hint="eastAsia" w:ascii="仿宋" w:hAnsi="仿宋" w:eastAsia="仿宋"/>
          <w:bCs/>
          <w:szCs w:val="21"/>
        </w:rPr>
        <w:t>注: （1）招生专业以市教委批准公布的招生专业目录为准。</w:t>
      </w:r>
    </w:p>
    <w:p w14:paraId="5658D975">
      <w:pPr>
        <w:spacing w:line="440" w:lineRule="exact"/>
        <w:ind w:firstLine="840" w:firstLineChars="400"/>
        <w:rPr>
          <w:rFonts w:ascii="仿宋" w:hAnsi="仿宋" w:eastAsia="仿宋"/>
          <w:bCs/>
          <w:szCs w:val="21"/>
        </w:rPr>
      </w:pPr>
      <w:r>
        <w:rPr>
          <w:rFonts w:hint="eastAsia" w:ascii="仿宋" w:hAnsi="仿宋" w:eastAsia="仿宋"/>
          <w:bCs/>
          <w:szCs w:val="21"/>
        </w:rPr>
        <w:t>（2）如专业报考人数不足20人，将根据考生志愿进行调剂录取。</w:t>
      </w:r>
    </w:p>
    <w:p w14:paraId="4583FBAA">
      <w:pPr>
        <w:spacing w:line="440" w:lineRule="exact"/>
        <w:ind w:firstLine="840" w:firstLineChars="400"/>
        <w:rPr>
          <w:rFonts w:ascii="仿宋" w:hAnsi="仿宋" w:eastAsia="仿宋"/>
          <w:bCs/>
          <w:szCs w:val="21"/>
        </w:rPr>
      </w:pPr>
    </w:p>
    <w:p w14:paraId="735A7315">
      <w:pPr>
        <w:jc w:val="left"/>
      </w:pPr>
    </w:p>
    <w:p w14:paraId="4E8DF41E">
      <w:pPr>
        <w:spacing w:line="360" w:lineRule="auto"/>
        <w:rPr>
          <w:rFonts w:ascii="黑体" w:hAnsi="黑体" w:eastAsia="黑体"/>
          <w:b/>
          <w:sz w:val="24"/>
          <w:szCs w:val="24"/>
        </w:rPr>
      </w:pPr>
      <w:r>
        <w:rPr>
          <w:rFonts w:hint="eastAsia" w:ascii="黑体" w:hAnsi="黑体" w:eastAsia="黑体"/>
          <w:b/>
          <w:sz w:val="28"/>
          <w:szCs w:val="28"/>
        </w:rPr>
        <w:t>三、专业介绍</w:t>
      </w:r>
    </w:p>
    <w:tbl>
      <w:tblPr>
        <w:tblStyle w:val="4"/>
        <w:tblW w:w="76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1275"/>
        <w:gridCol w:w="5124"/>
      </w:tblGrid>
      <w:tr w14:paraId="4052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14" w:type="dxa"/>
            <w:vAlign w:val="center"/>
          </w:tcPr>
          <w:p w14:paraId="0D9CA81D">
            <w:pPr>
              <w:jc w:val="center"/>
              <w:rPr>
                <w:rFonts w:ascii="仿宋" w:hAnsi="仿宋" w:eastAsia="仿宋"/>
                <w:b/>
                <w:szCs w:val="21"/>
              </w:rPr>
            </w:pPr>
            <w:r>
              <w:rPr>
                <w:rFonts w:hint="eastAsia" w:ascii="仿宋" w:hAnsi="仿宋" w:eastAsia="仿宋"/>
                <w:b/>
                <w:sz w:val="24"/>
                <w:szCs w:val="24"/>
              </w:rPr>
              <w:t>专业层次</w:t>
            </w:r>
          </w:p>
        </w:tc>
        <w:tc>
          <w:tcPr>
            <w:tcW w:w="1275" w:type="dxa"/>
            <w:vAlign w:val="center"/>
          </w:tcPr>
          <w:p w14:paraId="4DEA2A44">
            <w:pPr>
              <w:jc w:val="center"/>
              <w:rPr>
                <w:rFonts w:ascii="仿宋" w:hAnsi="仿宋" w:eastAsia="仿宋"/>
                <w:b/>
              </w:rPr>
            </w:pPr>
            <w:r>
              <w:rPr>
                <w:rFonts w:hint="eastAsia" w:ascii="仿宋" w:hAnsi="仿宋" w:eastAsia="仿宋"/>
                <w:b/>
                <w:sz w:val="24"/>
                <w:szCs w:val="24"/>
              </w:rPr>
              <w:t>专业名称</w:t>
            </w:r>
          </w:p>
        </w:tc>
        <w:tc>
          <w:tcPr>
            <w:tcW w:w="5124" w:type="dxa"/>
            <w:vAlign w:val="center"/>
          </w:tcPr>
          <w:p w14:paraId="2B64425A">
            <w:pPr>
              <w:jc w:val="center"/>
              <w:rPr>
                <w:rFonts w:ascii="仿宋" w:hAnsi="仿宋" w:eastAsia="仿宋"/>
                <w:b/>
              </w:rPr>
            </w:pPr>
            <w:r>
              <w:rPr>
                <w:rFonts w:hint="eastAsia" w:ascii="仿宋" w:hAnsi="仿宋" w:eastAsia="仿宋"/>
                <w:b/>
                <w:sz w:val="24"/>
                <w:szCs w:val="24"/>
              </w:rPr>
              <w:t>专业简介</w:t>
            </w:r>
          </w:p>
        </w:tc>
      </w:tr>
      <w:tr w14:paraId="10C9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14" w:type="dxa"/>
            <w:vAlign w:val="center"/>
          </w:tcPr>
          <w:p w14:paraId="367235DB">
            <w:pPr>
              <w:jc w:val="center"/>
              <w:rPr>
                <w:rFonts w:ascii="楷体_GB2312" w:eastAsia="楷体_GB2312"/>
                <w:bCs/>
              </w:rPr>
            </w:pPr>
            <w:r>
              <w:rPr>
                <w:rFonts w:hint="eastAsia" w:ascii="楷体_GB2312" w:eastAsia="楷体_GB2312"/>
                <w:bCs/>
                <w:szCs w:val="21"/>
              </w:rPr>
              <w:t>专升本</w:t>
            </w:r>
          </w:p>
        </w:tc>
        <w:tc>
          <w:tcPr>
            <w:tcW w:w="1275" w:type="dxa"/>
            <w:vAlign w:val="center"/>
          </w:tcPr>
          <w:p w14:paraId="5688E6A1">
            <w:pPr>
              <w:jc w:val="center"/>
              <w:rPr>
                <w:rFonts w:ascii="楷体_GB2312" w:eastAsia="楷体_GB2312"/>
                <w:bCs/>
              </w:rPr>
            </w:pPr>
            <w:r>
              <w:rPr>
                <w:rFonts w:hint="eastAsia" w:ascii="楷体_GB2312" w:eastAsia="楷体_GB2312"/>
                <w:bCs/>
              </w:rPr>
              <w:t>会计学</w:t>
            </w:r>
          </w:p>
        </w:tc>
        <w:tc>
          <w:tcPr>
            <w:tcW w:w="5124" w:type="dxa"/>
            <w:vAlign w:val="center"/>
          </w:tcPr>
          <w:p w14:paraId="5D0480AF">
            <w:pPr>
              <w:jc w:val="left"/>
              <w:rPr>
                <w:rFonts w:ascii="楷体_GB2312" w:eastAsia="楷体_GB2312"/>
                <w:bCs/>
              </w:rPr>
            </w:pPr>
            <w:r>
              <w:rPr>
                <w:rFonts w:hint="eastAsia" w:ascii="楷体_GB2312" w:eastAsia="楷体_GB2312"/>
                <w:bCs/>
              </w:rPr>
              <w:t>本专业培养适应现代市场需要，具有人文精神、科学素养和诚信品质，具有财务管理、会计以及相关方面的知识和能力能在营利性和非营利性组织中从事会计、财务管理等方面工作的应用型、外向型本科人才。</w:t>
            </w:r>
          </w:p>
        </w:tc>
      </w:tr>
      <w:tr w14:paraId="7305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214" w:type="dxa"/>
            <w:vAlign w:val="center"/>
          </w:tcPr>
          <w:p w14:paraId="21A769FB">
            <w:pPr>
              <w:jc w:val="center"/>
              <w:rPr>
                <w:rFonts w:ascii="楷体_GB2312" w:eastAsia="楷体_GB2312"/>
                <w:bCs/>
              </w:rPr>
            </w:pPr>
            <w:r>
              <w:rPr>
                <w:rFonts w:hint="eastAsia" w:ascii="楷体_GB2312" w:eastAsia="楷体_GB2312"/>
                <w:bCs/>
                <w:szCs w:val="21"/>
              </w:rPr>
              <w:t>专升本</w:t>
            </w:r>
          </w:p>
        </w:tc>
        <w:tc>
          <w:tcPr>
            <w:tcW w:w="1275" w:type="dxa"/>
            <w:vAlign w:val="center"/>
          </w:tcPr>
          <w:p w14:paraId="2E99908F">
            <w:pPr>
              <w:jc w:val="center"/>
              <w:rPr>
                <w:rFonts w:ascii="楷体_GB2312" w:eastAsia="楷体_GB2312"/>
                <w:bCs/>
              </w:rPr>
            </w:pPr>
            <w:r>
              <w:rPr>
                <w:rFonts w:hint="eastAsia" w:ascii="楷体_GB2312" w:eastAsia="楷体_GB2312"/>
                <w:bCs/>
              </w:rPr>
              <w:t>财务管理</w:t>
            </w:r>
          </w:p>
        </w:tc>
        <w:tc>
          <w:tcPr>
            <w:tcW w:w="5124" w:type="dxa"/>
            <w:vAlign w:val="center"/>
          </w:tcPr>
          <w:p w14:paraId="544B97A3">
            <w:pPr>
              <w:jc w:val="left"/>
              <w:rPr>
                <w:rFonts w:ascii="楷体_GB2312" w:eastAsia="楷体_GB2312"/>
                <w:bCs/>
              </w:rPr>
            </w:pPr>
            <w:r>
              <w:rPr>
                <w:rFonts w:hint="eastAsia" w:ascii="楷体_GB2312" w:eastAsia="楷体_GB2312"/>
                <w:bCs/>
              </w:rPr>
              <w:t>本专业培养具备财务管理及相关金融、会计、法律等方面的知识，具备财务可行性评价能力、财务报表分析能力、税务筹划等能力，能在工商、金融企业及政府部门等从事财务管理的应用型专门人才。</w:t>
            </w:r>
          </w:p>
        </w:tc>
      </w:tr>
      <w:tr w14:paraId="3D95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14" w:type="dxa"/>
            <w:vAlign w:val="center"/>
          </w:tcPr>
          <w:p w14:paraId="296808B2">
            <w:pPr>
              <w:jc w:val="center"/>
              <w:rPr>
                <w:rFonts w:ascii="楷体_GB2312" w:eastAsia="楷体_GB2312"/>
                <w:bCs/>
                <w:szCs w:val="21"/>
              </w:rPr>
            </w:pPr>
            <w:r>
              <w:rPr>
                <w:rFonts w:hint="eastAsia" w:ascii="楷体_GB2312" w:eastAsia="楷体_GB2312"/>
                <w:bCs/>
                <w:szCs w:val="21"/>
              </w:rPr>
              <w:t>专升本</w:t>
            </w:r>
          </w:p>
        </w:tc>
        <w:tc>
          <w:tcPr>
            <w:tcW w:w="1275" w:type="dxa"/>
            <w:vAlign w:val="center"/>
          </w:tcPr>
          <w:p w14:paraId="17226238">
            <w:pPr>
              <w:jc w:val="center"/>
              <w:rPr>
                <w:rFonts w:ascii="楷体_GB2312" w:eastAsia="楷体_GB2312"/>
                <w:bCs/>
              </w:rPr>
            </w:pPr>
            <w:r>
              <w:rPr>
                <w:rFonts w:hint="eastAsia" w:ascii="仿宋" w:hAnsi="仿宋" w:eastAsia="仿宋"/>
                <w:bCs/>
                <w:sz w:val="24"/>
                <w:szCs w:val="24"/>
              </w:rPr>
              <w:t>工程管理</w:t>
            </w:r>
          </w:p>
        </w:tc>
        <w:tc>
          <w:tcPr>
            <w:tcW w:w="5124" w:type="dxa"/>
            <w:vAlign w:val="center"/>
          </w:tcPr>
          <w:p w14:paraId="1D1EB1BF">
            <w:pPr>
              <w:jc w:val="left"/>
              <w:rPr>
                <w:rFonts w:ascii="楷体_GB2312" w:eastAsia="楷体_GB2312"/>
                <w:bCs/>
              </w:rPr>
            </w:pPr>
            <w:r>
              <w:rPr>
                <w:rFonts w:hint="eastAsia" w:ascii="楷体_GB2312" w:eastAsia="楷体_GB2312"/>
                <w:bCs/>
                <w:lang w:eastAsia="zh-CN"/>
              </w:rPr>
              <w:t>本专业旨在培养适应社会主义现代化建设需要、德智体美劳全面发展的应用型人才。具备较强知识获取与应用、创新与实践能力，能在政府建设管理部门、企事业建设单位、房地产开发企业、金融机构、工程咨询机构及国内外工程建设领域从事项目决策、全过程工程管理与相关专业管理工作。</w:t>
            </w:r>
          </w:p>
        </w:tc>
      </w:tr>
      <w:tr w14:paraId="15A7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14" w:type="dxa"/>
            <w:vAlign w:val="center"/>
          </w:tcPr>
          <w:p w14:paraId="0AADDA2E">
            <w:pPr>
              <w:jc w:val="center"/>
              <w:rPr>
                <w:rFonts w:hint="eastAsia" w:ascii="楷体_GB2312" w:eastAsia="楷体_GB2312"/>
                <w:bCs/>
                <w:szCs w:val="21"/>
              </w:rPr>
            </w:pPr>
            <w:r>
              <w:rPr>
                <w:rFonts w:hint="eastAsia" w:ascii="楷体_GB2312" w:eastAsia="楷体_GB2312"/>
                <w:bCs/>
                <w:szCs w:val="21"/>
              </w:rPr>
              <w:t>专升本</w:t>
            </w:r>
          </w:p>
        </w:tc>
        <w:tc>
          <w:tcPr>
            <w:tcW w:w="1275" w:type="dxa"/>
            <w:vAlign w:val="center"/>
          </w:tcPr>
          <w:p w14:paraId="5AC9A02C">
            <w:pPr>
              <w:jc w:val="center"/>
              <w:rPr>
                <w:rFonts w:hint="eastAsia" w:ascii="仿宋" w:hAnsi="仿宋" w:eastAsia="仿宋"/>
                <w:bCs/>
                <w:sz w:val="24"/>
                <w:szCs w:val="24"/>
              </w:rPr>
            </w:pPr>
            <w:r>
              <w:rPr>
                <w:rFonts w:hint="eastAsia" w:ascii="仿宋" w:hAnsi="仿宋" w:eastAsia="仿宋"/>
                <w:bCs/>
                <w:sz w:val="24"/>
                <w:szCs w:val="24"/>
              </w:rPr>
              <w:t>人力资源管理</w:t>
            </w:r>
          </w:p>
        </w:tc>
        <w:tc>
          <w:tcPr>
            <w:tcW w:w="5124" w:type="dxa"/>
            <w:vAlign w:val="center"/>
          </w:tcPr>
          <w:p w14:paraId="7C6D08D6">
            <w:pPr>
              <w:spacing w:line="360" w:lineRule="auto"/>
              <w:rPr>
                <w:rFonts w:hint="eastAsia" w:ascii="楷体_GB2312" w:eastAsia="楷体_GB2312"/>
                <w:bCs/>
              </w:rPr>
            </w:pPr>
            <w:r>
              <w:rPr>
                <w:rFonts w:hint="eastAsia" w:ascii="楷体_GB2312" w:eastAsia="楷体_GB2312"/>
                <w:bCs/>
                <w:lang w:eastAsia="zh-CN"/>
              </w:rPr>
              <w:t>本专业培养具备社会责任、法制意识、创新精神和实践能力的应用型人才。学生将学习管理学、经济学基础知识，掌握人力资源管理理论、方法和技巧，并能应用于实践，分析企业问题，培养解决复杂问题的能力，能在企事业单位、政府机关从事人力资源管理工作。</w:t>
            </w:r>
          </w:p>
        </w:tc>
      </w:tr>
    </w:tbl>
    <w:p w14:paraId="5A2F28D9">
      <w:pPr>
        <w:spacing w:line="360" w:lineRule="auto"/>
        <w:rPr>
          <w:rFonts w:ascii="黑体" w:hAnsi="华文中宋" w:eastAsia="黑体"/>
          <w:b/>
          <w:sz w:val="28"/>
          <w:szCs w:val="28"/>
        </w:rPr>
      </w:pPr>
    </w:p>
    <w:p w14:paraId="12E250E8">
      <w:pPr>
        <w:spacing w:line="360" w:lineRule="auto"/>
        <w:rPr>
          <w:rFonts w:ascii="黑体" w:hAnsi="华文中宋" w:eastAsia="黑体"/>
          <w:b/>
          <w:sz w:val="28"/>
          <w:szCs w:val="28"/>
        </w:rPr>
      </w:pPr>
      <w:r>
        <w:rPr>
          <w:rFonts w:hint="eastAsia" w:ascii="黑体" w:hAnsi="华文中宋" w:eastAsia="黑体"/>
          <w:b/>
          <w:sz w:val="28"/>
          <w:szCs w:val="28"/>
        </w:rPr>
        <w:t>四、报考条件</w:t>
      </w:r>
    </w:p>
    <w:p w14:paraId="0F469074">
      <w:pPr>
        <w:spacing w:line="312" w:lineRule="auto"/>
        <w:ind w:firstLine="480" w:firstLineChars="200"/>
        <w:rPr>
          <w:rFonts w:ascii="仿宋" w:hAnsi="仿宋" w:eastAsia="仿宋"/>
          <w:sz w:val="24"/>
          <w:szCs w:val="24"/>
        </w:rPr>
      </w:pPr>
      <w:r>
        <w:rPr>
          <w:rFonts w:hint="eastAsia" w:ascii="仿宋" w:hAnsi="仿宋" w:eastAsia="仿宋"/>
          <w:sz w:val="24"/>
          <w:szCs w:val="24"/>
        </w:rPr>
        <w:t>符合下列条件的中国公民可以报名</w:t>
      </w:r>
    </w:p>
    <w:p w14:paraId="21206026">
      <w:pPr>
        <w:spacing w:line="312" w:lineRule="auto"/>
        <w:ind w:firstLine="480" w:firstLineChars="200"/>
        <w:rPr>
          <w:rFonts w:ascii="仿宋" w:hAnsi="仿宋" w:eastAsia="仿宋"/>
          <w:sz w:val="24"/>
          <w:szCs w:val="24"/>
        </w:rPr>
      </w:pPr>
      <w:r>
        <w:rPr>
          <w:rFonts w:hint="eastAsia" w:ascii="仿宋" w:hAnsi="仿宋" w:eastAsia="仿宋"/>
          <w:sz w:val="24"/>
          <w:szCs w:val="24"/>
        </w:rPr>
        <w:t>1</w:t>
      </w:r>
      <w:r>
        <w:rPr>
          <w:rFonts w:ascii="仿宋" w:hAnsi="仿宋" w:eastAsia="仿宋"/>
          <w:sz w:val="24"/>
          <w:szCs w:val="24"/>
        </w:rPr>
        <w:t>.</w:t>
      </w:r>
      <w:r>
        <w:rPr>
          <w:rFonts w:hint="eastAsia" w:ascii="仿宋" w:hAnsi="仿宋" w:eastAsia="仿宋"/>
          <w:sz w:val="24"/>
          <w:szCs w:val="24"/>
        </w:rPr>
        <w:t>遵守中华人民共和国宪法和法律；</w:t>
      </w:r>
    </w:p>
    <w:p w14:paraId="72155982">
      <w:pPr>
        <w:spacing w:line="312" w:lineRule="auto"/>
        <w:ind w:firstLine="480"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w:t>
      </w:r>
      <w:r>
        <w:rPr>
          <w:rFonts w:hint="eastAsia" w:ascii="仿宋" w:hAnsi="仿宋" w:eastAsia="仿宋"/>
          <w:sz w:val="24"/>
          <w:szCs w:val="24"/>
        </w:rPr>
        <w:t>国家承认学历的各类专科学校在校生以外的从业人员和社会其他人员；</w:t>
      </w:r>
    </w:p>
    <w:p w14:paraId="3817C9E9">
      <w:pPr>
        <w:spacing w:line="312" w:lineRule="auto"/>
        <w:ind w:firstLine="480" w:firstLineChars="200"/>
        <w:rPr>
          <w:rFonts w:ascii="仿宋" w:hAnsi="仿宋" w:eastAsia="仿宋"/>
          <w:sz w:val="24"/>
          <w:szCs w:val="24"/>
        </w:rPr>
      </w:pPr>
      <w:r>
        <w:rPr>
          <w:rFonts w:hint="eastAsia" w:ascii="仿宋" w:hAnsi="仿宋" w:eastAsia="仿宋"/>
          <w:sz w:val="24"/>
          <w:szCs w:val="24"/>
        </w:rPr>
        <w:t>3</w:t>
      </w:r>
      <w:r>
        <w:rPr>
          <w:rFonts w:ascii="仿宋" w:hAnsi="仿宋" w:eastAsia="仿宋"/>
          <w:sz w:val="24"/>
          <w:szCs w:val="24"/>
        </w:rPr>
        <w:t>.</w:t>
      </w:r>
      <w:r>
        <w:rPr>
          <w:rFonts w:hint="eastAsia" w:ascii="仿宋" w:hAnsi="仿宋" w:eastAsia="仿宋"/>
          <w:sz w:val="24"/>
          <w:szCs w:val="24"/>
        </w:rPr>
        <w:t>身体健康，生活能自理，不影响所报专业学习；</w:t>
      </w:r>
    </w:p>
    <w:p w14:paraId="03A9C8E3">
      <w:pPr>
        <w:spacing w:line="312" w:lineRule="auto"/>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sz w:val="24"/>
          <w:szCs w:val="24"/>
        </w:rPr>
        <w:t>报考专升本的考生必须是已取得教育部审定核准的国民教育系列高等学校、高等教育自学考试机构颁发的专科毕业证书、本科结业证书或以上证书的人员；</w:t>
      </w:r>
    </w:p>
    <w:p w14:paraId="238C6CC1">
      <w:pPr>
        <w:spacing w:line="312" w:lineRule="auto"/>
        <w:ind w:firstLine="480" w:firstLineChars="200"/>
        <w:rPr>
          <w:rFonts w:ascii="仿宋" w:hAnsi="仿宋" w:eastAsia="仿宋"/>
          <w:sz w:val="24"/>
          <w:szCs w:val="24"/>
        </w:rPr>
      </w:pPr>
      <w:r>
        <w:rPr>
          <w:rFonts w:ascii="仿宋" w:hAnsi="仿宋" w:eastAsia="仿宋"/>
          <w:sz w:val="24"/>
          <w:szCs w:val="24"/>
        </w:rPr>
        <w:t>5.</w:t>
      </w:r>
      <w:r>
        <w:rPr>
          <w:rFonts w:hint="eastAsia" w:ascii="仿宋" w:hAnsi="仿宋" w:eastAsia="仿宋"/>
          <w:sz w:val="24"/>
          <w:szCs w:val="24"/>
        </w:rPr>
        <w:t>202</w:t>
      </w:r>
      <w:r>
        <w:rPr>
          <w:rFonts w:ascii="仿宋" w:hAnsi="仿宋" w:eastAsia="仿宋"/>
          <w:sz w:val="24"/>
          <w:szCs w:val="24"/>
        </w:rPr>
        <w:t>5</w:t>
      </w:r>
      <w:r>
        <w:rPr>
          <w:rFonts w:hint="eastAsia" w:ascii="仿宋" w:hAnsi="仿宋" w:eastAsia="仿宋"/>
          <w:sz w:val="24"/>
          <w:szCs w:val="24"/>
        </w:rPr>
        <w:t>年春季本市成人高校毕业生（现场信息核对时须提供就读学校证明）；</w:t>
      </w:r>
    </w:p>
    <w:p w14:paraId="5D34FC1B">
      <w:pPr>
        <w:spacing w:line="312" w:lineRule="auto"/>
        <w:ind w:firstLine="480" w:firstLineChars="200"/>
        <w:rPr>
          <w:rFonts w:ascii="仿宋" w:hAnsi="仿宋" w:eastAsia="仿宋"/>
          <w:sz w:val="24"/>
          <w:szCs w:val="24"/>
        </w:rPr>
      </w:pPr>
      <w:r>
        <w:rPr>
          <w:rFonts w:hint="eastAsia" w:ascii="仿宋" w:hAnsi="仿宋" w:eastAsia="仿宋"/>
          <w:sz w:val="24"/>
          <w:szCs w:val="24"/>
        </w:rPr>
        <w:t>6.本市常住户口、在本市工作的非本市常住户口人员（须提供单位出具的工作证明或社保记录或居住证）。</w:t>
      </w:r>
    </w:p>
    <w:p w14:paraId="54B88966">
      <w:pPr>
        <w:rPr>
          <w:rFonts w:ascii="仿宋" w:hAnsi="仿宋" w:eastAsia="仿宋"/>
          <w:sz w:val="24"/>
          <w:szCs w:val="24"/>
        </w:rPr>
      </w:pPr>
    </w:p>
    <w:p w14:paraId="467BF5FB">
      <w:pPr>
        <w:spacing w:line="360" w:lineRule="auto"/>
        <w:rPr>
          <w:rFonts w:ascii="黑体" w:hAnsi="华文中宋" w:eastAsia="黑体"/>
          <w:b/>
          <w:sz w:val="28"/>
          <w:szCs w:val="28"/>
        </w:rPr>
      </w:pPr>
      <w:r>
        <w:rPr>
          <w:rFonts w:hint="eastAsia" w:ascii="黑体" w:hAnsi="华文中宋" w:eastAsia="黑体"/>
          <w:b/>
          <w:sz w:val="28"/>
          <w:szCs w:val="28"/>
        </w:rPr>
        <w:t>五、报考流程</w:t>
      </w:r>
    </w:p>
    <w:p w14:paraId="1C98758D">
      <w:pPr>
        <w:spacing w:line="312" w:lineRule="auto"/>
        <w:ind w:firstLine="480" w:firstLineChars="200"/>
        <w:rPr>
          <w:rFonts w:ascii="仿宋" w:hAnsi="仿宋" w:eastAsia="仿宋"/>
          <w:sz w:val="24"/>
          <w:szCs w:val="24"/>
        </w:rPr>
      </w:pPr>
      <w:r>
        <w:rPr>
          <w:rFonts w:hint="eastAsia" w:ascii="仿宋" w:hAnsi="仿宋" w:eastAsia="仿宋"/>
          <w:sz w:val="24"/>
          <w:szCs w:val="24"/>
        </w:rPr>
        <w:t>1.网上报考</w:t>
      </w:r>
    </w:p>
    <w:p w14:paraId="1FE2741F">
      <w:pPr>
        <w:spacing w:line="312" w:lineRule="auto"/>
        <w:ind w:firstLine="480" w:firstLineChars="200"/>
        <w:rPr>
          <w:rFonts w:ascii="仿宋" w:hAnsi="仿宋" w:eastAsia="仿宋"/>
          <w:sz w:val="24"/>
          <w:szCs w:val="24"/>
        </w:rPr>
      </w:pPr>
      <w:r>
        <w:rPr>
          <w:rFonts w:hint="eastAsia" w:ascii="仿宋" w:hAnsi="仿宋" w:eastAsia="仿宋"/>
          <w:sz w:val="24"/>
          <w:szCs w:val="24"/>
        </w:rPr>
        <w:t>成人高考网上报名时间：</w:t>
      </w:r>
      <w:r>
        <w:rPr>
          <w:rFonts w:hint="eastAsia" w:ascii="仿宋" w:hAnsi="仿宋" w:eastAsia="仿宋"/>
          <w:sz w:val="24"/>
          <w:szCs w:val="24"/>
          <w:lang w:val="en-US" w:eastAsia="zh-CN"/>
        </w:rPr>
        <w:t>2025</w:t>
      </w:r>
      <w:r>
        <w:rPr>
          <w:rFonts w:hint="eastAsia" w:ascii="仿宋" w:hAnsi="仿宋" w:eastAsia="仿宋"/>
          <w:sz w:val="24"/>
          <w:szCs w:val="24"/>
        </w:rPr>
        <w:t>年</w:t>
      </w:r>
      <w:r>
        <w:rPr>
          <w:rFonts w:ascii="仿宋" w:hAnsi="仿宋" w:eastAsia="仿宋"/>
          <w:sz w:val="24"/>
          <w:szCs w:val="24"/>
        </w:rPr>
        <w:t>8</w:t>
      </w:r>
      <w:r>
        <w:rPr>
          <w:rFonts w:hint="eastAsia" w:ascii="仿宋" w:hAnsi="仿宋" w:eastAsia="仿宋"/>
          <w:sz w:val="24"/>
          <w:szCs w:val="24"/>
        </w:rPr>
        <w:t>月底至9月初</w:t>
      </w:r>
    </w:p>
    <w:p w14:paraId="4D8D9131">
      <w:pPr>
        <w:spacing w:line="312" w:lineRule="auto"/>
        <w:ind w:firstLine="480" w:firstLineChars="200"/>
        <w:rPr>
          <w:rFonts w:ascii="仿宋" w:hAnsi="仿宋" w:eastAsia="仿宋"/>
          <w:sz w:val="24"/>
          <w:szCs w:val="24"/>
        </w:rPr>
      </w:pPr>
      <w:r>
        <w:rPr>
          <w:rFonts w:hint="eastAsia" w:ascii="仿宋" w:hAnsi="仿宋" w:eastAsia="仿宋"/>
          <w:sz w:val="24"/>
          <w:szCs w:val="24"/>
        </w:rPr>
        <w:t>具体时间及流程以上海市教育考试院网站“上海招考热线”（www.shmeea.edu.cn)公告为准。</w:t>
      </w:r>
    </w:p>
    <w:p w14:paraId="4B07ED07">
      <w:pPr>
        <w:spacing w:line="312" w:lineRule="auto"/>
        <w:ind w:firstLine="480" w:firstLineChars="200"/>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.考试时间</w:t>
      </w:r>
    </w:p>
    <w:p w14:paraId="0A1CF26C">
      <w:pPr>
        <w:spacing w:line="312" w:lineRule="auto"/>
        <w:ind w:firstLine="480" w:firstLineChars="200"/>
        <w:rPr>
          <w:rFonts w:ascii="仿宋" w:hAnsi="仿宋" w:eastAsia="仿宋"/>
          <w:sz w:val="24"/>
          <w:szCs w:val="24"/>
        </w:rPr>
      </w:pPr>
      <w:r>
        <w:rPr>
          <w:rFonts w:hint="eastAsia" w:ascii="仿宋" w:hAnsi="仿宋" w:eastAsia="仿宋"/>
          <w:sz w:val="24"/>
          <w:szCs w:val="24"/>
        </w:rPr>
        <w:t>成人高考考试时间：</w:t>
      </w:r>
      <w:r>
        <w:rPr>
          <w:rFonts w:hint="eastAsia" w:ascii="仿宋" w:hAnsi="仿宋" w:eastAsia="仿宋"/>
          <w:sz w:val="24"/>
          <w:szCs w:val="24"/>
          <w:lang w:val="en-US" w:eastAsia="zh-CN"/>
        </w:rPr>
        <w:t>2025</w:t>
      </w:r>
      <w:r>
        <w:rPr>
          <w:rFonts w:hint="eastAsia" w:ascii="仿宋" w:hAnsi="仿宋" w:eastAsia="仿宋"/>
          <w:sz w:val="24"/>
          <w:szCs w:val="24"/>
        </w:rPr>
        <w:t>年</w:t>
      </w:r>
      <w:r>
        <w:rPr>
          <w:rFonts w:ascii="仿宋" w:hAnsi="仿宋" w:eastAsia="仿宋"/>
          <w:sz w:val="24"/>
          <w:szCs w:val="24"/>
        </w:rPr>
        <w:t>10月</w:t>
      </w:r>
      <w:r>
        <w:rPr>
          <w:rFonts w:hint="eastAsia" w:ascii="仿宋" w:hAnsi="仿宋" w:eastAsia="仿宋"/>
          <w:sz w:val="24"/>
          <w:szCs w:val="24"/>
          <w:lang w:val="en-US" w:eastAsia="zh-CN"/>
        </w:rPr>
        <w:t>18</w:t>
      </w:r>
      <w:r>
        <w:rPr>
          <w:rFonts w:ascii="仿宋" w:hAnsi="仿宋" w:eastAsia="仿宋"/>
          <w:sz w:val="24"/>
          <w:szCs w:val="24"/>
        </w:rPr>
        <w:t>日至</w:t>
      </w:r>
      <w:r>
        <w:rPr>
          <w:rFonts w:hint="eastAsia" w:ascii="仿宋" w:hAnsi="仿宋" w:eastAsia="仿宋"/>
          <w:sz w:val="24"/>
          <w:szCs w:val="24"/>
          <w:lang w:val="en-US" w:eastAsia="zh-CN"/>
        </w:rPr>
        <w:t>19</w:t>
      </w:r>
      <w:r>
        <w:rPr>
          <w:rFonts w:ascii="仿宋" w:hAnsi="仿宋" w:eastAsia="仿宋"/>
          <w:sz w:val="24"/>
          <w:szCs w:val="24"/>
        </w:rPr>
        <w:t>日</w:t>
      </w:r>
    </w:p>
    <w:p w14:paraId="138CDAA6">
      <w:pPr>
        <w:spacing w:line="312" w:lineRule="auto"/>
        <w:ind w:firstLine="480" w:firstLineChars="200"/>
        <w:rPr>
          <w:rFonts w:ascii="仿宋" w:hAnsi="仿宋" w:eastAsia="仿宋"/>
          <w:sz w:val="24"/>
          <w:szCs w:val="24"/>
        </w:rPr>
      </w:pPr>
      <w:r>
        <w:rPr>
          <w:rFonts w:ascii="仿宋" w:hAnsi="仿宋" w:eastAsia="仿宋"/>
          <w:sz w:val="24"/>
          <w:szCs w:val="24"/>
        </w:rPr>
        <w:t>3</w:t>
      </w:r>
      <w:r>
        <w:rPr>
          <w:rFonts w:hint="eastAsia" w:ascii="仿宋" w:hAnsi="仿宋" w:eastAsia="仿宋"/>
          <w:sz w:val="24"/>
          <w:szCs w:val="24"/>
        </w:rPr>
        <w:t>.二次志愿确认</w:t>
      </w:r>
    </w:p>
    <w:p w14:paraId="1DACDBBD">
      <w:pPr>
        <w:spacing w:line="312" w:lineRule="auto"/>
        <w:ind w:firstLine="480" w:firstLineChars="200"/>
        <w:rPr>
          <w:rFonts w:ascii="仿宋" w:hAnsi="仿宋" w:eastAsia="仿宋"/>
          <w:sz w:val="24"/>
          <w:szCs w:val="24"/>
        </w:rPr>
      </w:pPr>
      <w:r>
        <w:rPr>
          <w:rFonts w:hint="eastAsia" w:ascii="仿宋" w:hAnsi="仿宋" w:eastAsia="仿宋"/>
          <w:sz w:val="24"/>
          <w:szCs w:val="24"/>
        </w:rPr>
        <w:t>确认时间：</w:t>
      </w:r>
      <w:r>
        <w:rPr>
          <w:rFonts w:hint="eastAsia" w:ascii="仿宋" w:hAnsi="仿宋" w:eastAsia="仿宋"/>
          <w:sz w:val="24"/>
          <w:szCs w:val="24"/>
          <w:lang w:val="en-US" w:eastAsia="zh-CN"/>
        </w:rPr>
        <w:t>2025</w:t>
      </w:r>
      <w:r>
        <w:rPr>
          <w:rFonts w:hint="eastAsia" w:ascii="仿宋" w:hAnsi="仿宋" w:eastAsia="仿宋"/>
          <w:sz w:val="24"/>
          <w:szCs w:val="24"/>
        </w:rPr>
        <w:t>年11月（一般为成绩公布后一周）</w:t>
      </w:r>
    </w:p>
    <w:p w14:paraId="0B769570">
      <w:pPr>
        <w:spacing w:line="312" w:lineRule="auto"/>
        <w:ind w:firstLine="480" w:firstLineChars="200"/>
        <w:rPr>
          <w:rFonts w:ascii="仿宋" w:hAnsi="仿宋" w:eastAsia="仿宋"/>
          <w:sz w:val="24"/>
          <w:szCs w:val="24"/>
        </w:rPr>
      </w:pPr>
      <w:r>
        <w:rPr>
          <w:rFonts w:ascii="仿宋" w:hAnsi="仿宋" w:eastAsia="仿宋"/>
          <w:sz w:val="24"/>
          <w:szCs w:val="24"/>
        </w:rPr>
        <w:t>4</w:t>
      </w:r>
      <w:r>
        <w:rPr>
          <w:rFonts w:hint="eastAsia" w:ascii="仿宋" w:hAnsi="仿宋" w:eastAsia="仿宋"/>
          <w:sz w:val="24"/>
          <w:szCs w:val="24"/>
        </w:rPr>
        <w:t>.录取报到</w:t>
      </w:r>
    </w:p>
    <w:p w14:paraId="5F4FB0DE">
      <w:pPr>
        <w:spacing w:line="312" w:lineRule="auto"/>
        <w:ind w:firstLine="480" w:firstLineChars="200"/>
        <w:rPr>
          <w:rFonts w:ascii="仿宋" w:hAnsi="仿宋" w:eastAsia="仿宋"/>
          <w:sz w:val="24"/>
          <w:szCs w:val="24"/>
        </w:rPr>
      </w:pPr>
      <w:r>
        <w:rPr>
          <w:rFonts w:hint="eastAsia" w:ascii="仿宋" w:hAnsi="仿宋" w:eastAsia="仿宋"/>
          <w:sz w:val="24"/>
          <w:szCs w:val="24"/>
        </w:rPr>
        <w:t>录取时间：</w:t>
      </w:r>
      <w:r>
        <w:rPr>
          <w:rFonts w:hint="eastAsia" w:ascii="仿宋" w:hAnsi="仿宋" w:eastAsia="仿宋"/>
          <w:sz w:val="24"/>
          <w:szCs w:val="24"/>
          <w:lang w:val="en-US" w:eastAsia="zh-CN"/>
        </w:rPr>
        <w:t>2025</w:t>
      </w:r>
      <w:r>
        <w:rPr>
          <w:rFonts w:hint="eastAsia" w:ascii="仿宋" w:hAnsi="仿宋" w:eastAsia="仿宋"/>
          <w:sz w:val="24"/>
          <w:szCs w:val="24"/>
        </w:rPr>
        <w:t>年12月（报到时间以录取通知书为准）</w:t>
      </w:r>
    </w:p>
    <w:p w14:paraId="0F4123EC">
      <w:pPr>
        <w:spacing w:line="312" w:lineRule="auto"/>
        <w:ind w:firstLine="480" w:firstLineChars="200"/>
        <w:rPr>
          <w:rFonts w:ascii="仿宋" w:hAnsi="仿宋" w:eastAsia="仿宋"/>
          <w:sz w:val="24"/>
          <w:szCs w:val="24"/>
        </w:rPr>
      </w:pPr>
      <w:r>
        <w:rPr>
          <w:rFonts w:hint="eastAsia" w:ascii="仿宋" w:hAnsi="仿宋" w:eastAsia="仿宋"/>
          <w:sz w:val="24"/>
          <w:szCs w:val="24"/>
        </w:rPr>
        <w:t>（上述流程及日期以上海市教育考试院公布为准）</w:t>
      </w:r>
    </w:p>
    <w:p w14:paraId="4A8882BF">
      <w:pPr>
        <w:rPr>
          <w:rFonts w:ascii="仿宋" w:hAnsi="仿宋" w:eastAsia="仿宋"/>
          <w:sz w:val="24"/>
          <w:szCs w:val="24"/>
        </w:rPr>
      </w:pPr>
    </w:p>
    <w:p w14:paraId="720CC608">
      <w:pPr>
        <w:spacing w:line="360" w:lineRule="auto"/>
        <w:rPr>
          <w:rFonts w:ascii="黑体" w:hAnsi="华文中宋" w:eastAsia="黑体"/>
          <w:b/>
          <w:sz w:val="28"/>
          <w:szCs w:val="28"/>
        </w:rPr>
      </w:pPr>
      <w:r>
        <w:rPr>
          <w:rFonts w:hint="eastAsia" w:ascii="黑体" w:hAnsi="华文中宋" w:eastAsia="黑体"/>
          <w:b/>
          <w:sz w:val="28"/>
          <w:szCs w:val="28"/>
        </w:rPr>
        <w:t>六、收费标准</w:t>
      </w:r>
    </w:p>
    <w:p w14:paraId="29158E93">
      <w:pPr>
        <w:spacing w:line="312" w:lineRule="auto"/>
        <w:ind w:firstLine="480" w:firstLineChars="200"/>
        <w:rPr>
          <w:rFonts w:ascii="仿宋" w:hAnsi="仿宋" w:eastAsia="仿宋"/>
          <w:sz w:val="24"/>
          <w:szCs w:val="24"/>
        </w:rPr>
      </w:pPr>
      <w:r>
        <w:rPr>
          <w:rFonts w:hint="eastAsia" w:ascii="仿宋" w:hAnsi="仿宋" w:eastAsia="仿宋"/>
          <w:sz w:val="24"/>
          <w:szCs w:val="24"/>
        </w:rPr>
        <w:t>总学费：9600元，依据：东北财大校纪【2</w:t>
      </w:r>
      <w:r>
        <w:rPr>
          <w:rFonts w:ascii="仿宋" w:hAnsi="仿宋" w:eastAsia="仿宋"/>
          <w:sz w:val="24"/>
          <w:szCs w:val="24"/>
        </w:rPr>
        <w:t>021</w:t>
      </w:r>
      <w:r>
        <w:rPr>
          <w:rFonts w:hint="eastAsia" w:ascii="仿宋" w:hAnsi="仿宋" w:eastAsia="仿宋"/>
          <w:sz w:val="24"/>
          <w:szCs w:val="24"/>
        </w:rPr>
        <w:t>】1</w:t>
      </w:r>
      <w:r>
        <w:rPr>
          <w:rFonts w:ascii="仿宋" w:hAnsi="仿宋" w:eastAsia="仿宋"/>
          <w:sz w:val="24"/>
          <w:szCs w:val="24"/>
        </w:rPr>
        <w:t>5</w:t>
      </w:r>
      <w:r>
        <w:rPr>
          <w:rFonts w:hint="eastAsia" w:ascii="仿宋" w:hAnsi="仿宋" w:eastAsia="仿宋"/>
          <w:sz w:val="24"/>
          <w:szCs w:val="24"/>
        </w:rPr>
        <w:t>号。</w:t>
      </w:r>
    </w:p>
    <w:p w14:paraId="3B0B6A6E">
      <w:pPr>
        <w:spacing w:line="312" w:lineRule="auto"/>
        <w:ind w:firstLine="480" w:firstLineChars="200"/>
        <w:rPr>
          <w:rFonts w:ascii="仿宋" w:hAnsi="仿宋" w:eastAsia="仿宋"/>
          <w:sz w:val="24"/>
          <w:szCs w:val="24"/>
        </w:rPr>
      </w:pPr>
    </w:p>
    <w:p w14:paraId="3FFECD4F">
      <w:pPr>
        <w:spacing w:line="312" w:lineRule="auto"/>
        <w:rPr>
          <w:rFonts w:ascii="黑体" w:hAnsi="华文中宋" w:eastAsia="黑体"/>
          <w:b/>
          <w:sz w:val="28"/>
          <w:szCs w:val="28"/>
        </w:rPr>
      </w:pPr>
      <w:r>
        <w:rPr>
          <w:rFonts w:hint="eastAsia" w:ascii="黑体" w:hAnsi="华文中宋" w:eastAsia="黑体"/>
          <w:b/>
          <w:sz w:val="28"/>
          <w:szCs w:val="28"/>
        </w:rPr>
        <w:t>七、加分政策</w:t>
      </w:r>
    </w:p>
    <w:p w14:paraId="2D173740">
      <w:pPr>
        <w:spacing w:line="312" w:lineRule="auto"/>
        <w:ind w:firstLine="480" w:firstLineChars="200"/>
        <w:rPr>
          <w:rFonts w:ascii="仿宋" w:hAnsi="仿宋" w:eastAsia="仿宋"/>
          <w:sz w:val="24"/>
          <w:szCs w:val="24"/>
        </w:rPr>
      </w:pPr>
      <w:r>
        <w:rPr>
          <w:rFonts w:hint="eastAsia" w:ascii="仿宋" w:hAnsi="仿宋" w:eastAsia="仿宋"/>
          <w:sz w:val="24"/>
          <w:szCs w:val="24"/>
        </w:rPr>
        <w:t>按照上海市教育考试院公布的相关加分政策执行。</w:t>
      </w:r>
    </w:p>
    <w:p w14:paraId="6EAF6D23">
      <w:pPr>
        <w:spacing w:line="312" w:lineRule="auto"/>
        <w:ind w:firstLine="480" w:firstLineChars="200"/>
        <w:rPr>
          <w:rFonts w:ascii="仿宋" w:hAnsi="仿宋" w:eastAsia="仿宋"/>
          <w:sz w:val="24"/>
          <w:szCs w:val="24"/>
        </w:rPr>
      </w:pPr>
    </w:p>
    <w:p w14:paraId="5AFABE37">
      <w:pPr>
        <w:spacing w:line="312" w:lineRule="auto"/>
        <w:rPr>
          <w:rFonts w:ascii="黑体" w:hAnsi="华文中宋" w:eastAsia="黑体"/>
          <w:b/>
          <w:sz w:val="28"/>
          <w:szCs w:val="28"/>
        </w:rPr>
      </w:pPr>
      <w:r>
        <w:rPr>
          <w:rFonts w:hint="eastAsia" w:ascii="黑体" w:hAnsi="华文中宋" w:eastAsia="黑体"/>
          <w:b/>
          <w:sz w:val="28"/>
          <w:szCs w:val="28"/>
        </w:rPr>
        <w:t>八、监督机制及举报电话</w:t>
      </w:r>
    </w:p>
    <w:p w14:paraId="60603066">
      <w:pPr>
        <w:spacing w:line="312" w:lineRule="auto"/>
        <w:ind w:firstLine="480" w:firstLineChars="200"/>
        <w:rPr>
          <w:rFonts w:ascii="仿宋" w:hAnsi="仿宋" w:eastAsia="仿宋"/>
          <w:sz w:val="24"/>
          <w:szCs w:val="24"/>
        </w:rPr>
      </w:pPr>
      <w:r>
        <w:rPr>
          <w:rFonts w:hint="eastAsia" w:ascii="仿宋" w:hAnsi="仿宋" w:eastAsia="仿宋"/>
          <w:sz w:val="24"/>
          <w:szCs w:val="24"/>
        </w:rPr>
        <w:t>按照招生“阳光工程”的统一要求，以及市教委、市教育考试院有关成人高校招生录取工作的规定，学校学历继续教育招生录取全程接受本校纪委、监察室监督。</w:t>
      </w:r>
    </w:p>
    <w:p w14:paraId="253495A5">
      <w:pPr>
        <w:spacing w:line="312" w:lineRule="auto"/>
        <w:ind w:firstLine="560" w:firstLineChars="200"/>
        <w:rPr>
          <w:rFonts w:ascii="仿宋" w:hAnsi="仿宋" w:eastAsia="仿宋"/>
          <w:sz w:val="24"/>
          <w:szCs w:val="24"/>
        </w:rPr>
      </w:pPr>
      <w:r>
        <w:rPr>
          <w:rFonts w:hint="eastAsia" w:ascii="楷体_GB2312" w:hAnsi="楷体" w:eastAsia="楷体_GB2312"/>
          <w:sz w:val="28"/>
          <w:szCs w:val="28"/>
        </w:rPr>
        <w:t>举报电话：</w:t>
      </w:r>
      <w:r>
        <w:rPr>
          <w:rFonts w:ascii="楷体_GB2312" w:hAnsi="楷体" w:eastAsia="楷体_GB2312"/>
          <w:sz w:val="28"/>
          <w:szCs w:val="28"/>
        </w:rPr>
        <w:t>0411</w:t>
      </w:r>
      <w:r>
        <w:rPr>
          <w:rFonts w:hint="eastAsia" w:ascii="楷体_GB2312" w:hAnsi="楷体" w:eastAsia="楷体_GB2312"/>
          <w:sz w:val="28"/>
          <w:szCs w:val="28"/>
        </w:rPr>
        <w:t>-</w:t>
      </w:r>
      <w:r>
        <w:rPr>
          <w:rFonts w:ascii="楷体_GB2312" w:hAnsi="楷体" w:eastAsia="楷体_GB2312"/>
          <w:sz w:val="28"/>
          <w:szCs w:val="28"/>
        </w:rPr>
        <w:t>84711131</w:t>
      </w:r>
    </w:p>
    <w:p w14:paraId="6D5D92FC">
      <w:pPr>
        <w:spacing w:line="312" w:lineRule="auto"/>
        <w:rPr>
          <w:rFonts w:ascii="黑体" w:hAnsi="华文中宋" w:eastAsia="黑体"/>
          <w:b/>
          <w:sz w:val="28"/>
          <w:szCs w:val="28"/>
        </w:rPr>
      </w:pPr>
      <w:r>
        <w:rPr>
          <w:rFonts w:hint="eastAsia" w:ascii="黑体" w:hAnsi="华文中宋" w:eastAsia="黑体"/>
          <w:b/>
          <w:sz w:val="28"/>
          <w:szCs w:val="28"/>
        </w:rPr>
        <w:t>九、联系方式</w:t>
      </w:r>
    </w:p>
    <w:p w14:paraId="39DCC8A8">
      <w:pPr>
        <w:numPr>
          <w:ilvl w:val="0"/>
          <w:numId w:val="1"/>
        </w:numPr>
        <w:spacing w:line="312" w:lineRule="auto"/>
        <w:rPr>
          <w:rFonts w:ascii="仿宋" w:hAnsi="仿宋" w:eastAsia="仿宋"/>
          <w:sz w:val="24"/>
          <w:szCs w:val="24"/>
        </w:rPr>
      </w:pPr>
      <w:r>
        <w:rPr>
          <w:rFonts w:hint="eastAsia" w:ascii="仿宋" w:hAnsi="仿宋" w:eastAsia="仿宋"/>
          <w:sz w:val="24"/>
          <w:szCs w:val="24"/>
        </w:rPr>
        <w:t>学校地址：</w:t>
      </w:r>
      <w:r>
        <w:rPr>
          <w:rFonts w:hint="eastAsia" w:ascii="仿宋" w:hAnsi="仿宋" w:eastAsia="仿宋"/>
          <w:bCs/>
          <w:sz w:val="24"/>
          <w:szCs w:val="24"/>
        </w:rPr>
        <w:t>闵行区雅致路215号(甬虹路69号)</w:t>
      </w:r>
    </w:p>
    <w:p w14:paraId="660A994A">
      <w:pPr>
        <w:numPr>
          <w:ilvl w:val="0"/>
          <w:numId w:val="1"/>
        </w:numPr>
        <w:spacing w:line="312" w:lineRule="auto"/>
        <w:rPr>
          <w:rFonts w:ascii="仿宋" w:hAnsi="仿宋" w:eastAsia="仿宋"/>
          <w:sz w:val="24"/>
          <w:szCs w:val="24"/>
        </w:rPr>
      </w:pPr>
      <w:r>
        <w:rPr>
          <w:rFonts w:hint="eastAsia" w:ascii="仿宋" w:hAnsi="仿宋" w:eastAsia="仿宋"/>
          <w:sz w:val="24"/>
          <w:szCs w:val="24"/>
        </w:rPr>
        <w:t>招生咨询电话：</w:t>
      </w:r>
      <w:r>
        <w:rPr>
          <w:rFonts w:ascii="Arial" w:hAnsi="Arial" w:cs="Arial"/>
          <w:color w:val="555555"/>
          <w:szCs w:val="21"/>
          <w:shd w:val="clear" w:color="auto" w:fill="FFFFFF"/>
        </w:rPr>
        <w:t xml:space="preserve">021-64134862 </w:t>
      </w:r>
      <w:r>
        <w:rPr>
          <w:rFonts w:hint="eastAsia" w:ascii="Arial" w:hAnsi="Arial" w:cs="Arial"/>
          <w:color w:val="555555"/>
          <w:szCs w:val="21"/>
          <w:shd w:val="clear" w:color="auto" w:fill="FFFFFF"/>
          <w:lang w:val="en-US" w:eastAsia="zh-CN"/>
        </w:rPr>
        <w:t xml:space="preserve"> </w:t>
      </w:r>
      <w:r>
        <w:rPr>
          <w:rFonts w:hint="eastAsia" w:ascii="Arial" w:hAnsi="Arial" w:cs="Arial"/>
          <w:color w:val="555555"/>
          <w:szCs w:val="21"/>
          <w:shd w:val="clear" w:color="auto" w:fill="FFFFFF"/>
        </w:rPr>
        <w:t>13917704402</w:t>
      </w:r>
    </w:p>
    <w:p w14:paraId="517E88D0">
      <w:pPr>
        <w:numPr>
          <w:ilvl w:val="0"/>
          <w:numId w:val="1"/>
        </w:numPr>
        <w:spacing w:line="312" w:lineRule="auto"/>
        <w:rPr>
          <w:rFonts w:ascii="仿宋" w:hAnsi="仿宋" w:eastAsia="仿宋"/>
          <w:sz w:val="24"/>
          <w:szCs w:val="24"/>
        </w:rPr>
      </w:pPr>
      <w:r>
        <w:rPr>
          <w:rFonts w:hint="eastAsia" w:ascii="仿宋" w:hAnsi="仿宋" w:eastAsia="仿宋"/>
          <w:sz w:val="24"/>
          <w:szCs w:val="24"/>
        </w:rPr>
        <w:t>学校网址：</w:t>
      </w:r>
      <w:r>
        <w:fldChar w:fldCharType="begin"/>
      </w:r>
      <w:r>
        <w:instrText xml:space="preserve"> HYPERLINK "https://www.dufe.edu.cn/" </w:instrText>
      </w:r>
      <w:r>
        <w:fldChar w:fldCharType="separate"/>
      </w:r>
      <w:r>
        <w:rPr>
          <w:rStyle w:val="6"/>
          <w:rFonts w:ascii="仿宋" w:hAnsi="仿宋" w:eastAsia="仿宋"/>
          <w:sz w:val="24"/>
          <w:szCs w:val="24"/>
        </w:rPr>
        <w:t>https://www.dufe.edu.cn/</w:t>
      </w:r>
      <w:r>
        <w:rPr>
          <w:rStyle w:val="6"/>
          <w:rFonts w:ascii="仿宋" w:hAnsi="仿宋" w:eastAsia="仿宋"/>
          <w:sz w:val="24"/>
          <w:szCs w:val="24"/>
        </w:rPr>
        <w:fldChar w:fldCharType="end"/>
      </w:r>
    </w:p>
    <w:p w14:paraId="67761FB0">
      <w:pPr>
        <w:numPr>
          <w:ilvl w:val="0"/>
          <w:numId w:val="1"/>
        </w:numPr>
        <w:spacing w:line="312" w:lineRule="auto"/>
        <w:rPr>
          <w:rFonts w:ascii="仿宋" w:hAnsi="仿宋" w:eastAsia="仿宋"/>
          <w:sz w:val="24"/>
          <w:szCs w:val="24"/>
        </w:rPr>
      </w:pPr>
      <w:r>
        <w:rPr>
          <w:rFonts w:hint="eastAsia" w:ascii="仿宋" w:hAnsi="仿宋" w:eastAsia="仿宋"/>
          <w:sz w:val="24"/>
          <w:szCs w:val="24"/>
        </w:rPr>
        <w:t>继续教育学院网址：</w:t>
      </w:r>
      <w:r>
        <w:rPr>
          <w:rFonts w:ascii="仿宋" w:hAnsi="仿宋" w:eastAsia="仿宋"/>
          <w:sz w:val="24"/>
          <w:szCs w:val="24"/>
        </w:rPr>
        <w:t>https://sce.dufe.edu.cn/</w:t>
      </w:r>
      <w:r>
        <w:rPr>
          <w:rFonts w:hint="eastAsia" w:ascii="仿宋" w:hAnsi="仿宋" w:eastAsia="仿宋"/>
          <w:sz w:val="24"/>
          <w:szCs w:val="24"/>
        </w:rPr>
        <w:t xml:space="preserve">  </w:t>
      </w:r>
    </w:p>
    <w:p w14:paraId="39AA8C96">
      <w:pPr>
        <w:numPr>
          <w:ilvl w:val="0"/>
          <w:numId w:val="1"/>
        </w:numPr>
        <w:spacing w:line="312" w:lineRule="auto"/>
        <w:rPr>
          <w:rFonts w:ascii="仿宋" w:hAnsi="仿宋" w:eastAsia="仿宋"/>
          <w:sz w:val="24"/>
          <w:szCs w:val="24"/>
        </w:rPr>
      </w:pPr>
      <w:r>
        <w:rPr>
          <w:rFonts w:hint="eastAsia" w:ascii="仿宋" w:hAnsi="仿宋" w:eastAsia="仿宋"/>
          <w:sz w:val="24"/>
          <w:szCs w:val="24"/>
        </w:rPr>
        <w:t>继续教育学院微信公众号：东北财经大学继续教育学院</w:t>
      </w:r>
    </w:p>
    <w:p w14:paraId="67E60C83">
      <w:pPr>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B4546"/>
    <w:multiLevelType w:val="multilevel"/>
    <w:tmpl w:val="0C0B4546"/>
    <w:lvl w:ilvl="0" w:tentative="0">
      <w:start w:val="1"/>
      <w:numFmt w:val="decimal"/>
      <w:suff w:val="space"/>
      <w:lvlText w:val="%1."/>
      <w:lvlJc w:val="left"/>
      <w:pPr>
        <w:ind w:left="704" w:hanging="420"/>
      </w:pPr>
      <w:rPr>
        <w:rFonts w:hint="default"/>
      </w:rPr>
    </w:lvl>
    <w:lvl w:ilvl="1" w:tentative="0">
      <w:start w:val="1"/>
      <w:numFmt w:val="bullet"/>
      <w:lvlText w:val=""/>
      <w:lvlJc w:val="left"/>
      <w:pPr>
        <w:ind w:left="1124" w:hanging="420"/>
      </w:pPr>
      <w:rPr>
        <w:rFonts w:hint="default" w:ascii="Wingdings" w:hAnsi="Wingdings"/>
      </w:rPr>
    </w:lvl>
    <w:lvl w:ilvl="2" w:tentative="0">
      <w:start w:val="1"/>
      <w:numFmt w:val="bullet"/>
      <w:lvlText w:val=""/>
      <w:lvlJc w:val="left"/>
      <w:pPr>
        <w:ind w:left="1544" w:hanging="420"/>
      </w:pPr>
      <w:rPr>
        <w:rFonts w:hint="default" w:ascii="Wingdings" w:hAnsi="Wingdings"/>
      </w:rPr>
    </w:lvl>
    <w:lvl w:ilvl="3" w:tentative="0">
      <w:start w:val="1"/>
      <w:numFmt w:val="bullet"/>
      <w:lvlText w:val=""/>
      <w:lvlJc w:val="left"/>
      <w:pPr>
        <w:ind w:left="1964" w:hanging="420"/>
      </w:pPr>
      <w:rPr>
        <w:rFonts w:hint="default" w:ascii="Wingdings" w:hAnsi="Wingdings"/>
      </w:rPr>
    </w:lvl>
    <w:lvl w:ilvl="4" w:tentative="0">
      <w:start w:val="1"/>
      <w:numFmt w:val="bullet"/>
      <w:lvlText w:val=""/>
      <w:lvlJc w:val="left"/>
      <w:pPr>
        <w:ind w:left="2384" w:hanging="420"/>
      </w:pPr>
      <w:rPr>
        <w:rFonts w:hint="default" w:ascii="Wingdings" w:hAnsi="Wingdings"/>
      </w:rPr>
    </w:lvl>
    <w:lvl w:ilvl="5" w:tentative="0">
      <w:start w:val="1"/>
      <w:numFmt w:val="bullet"/>
      <w:lvlText w:val=""/>
      <w:lvlJc w:val="left"/>
      <w:pPr>
        <w:ind w:left="2804" w:hanging="420"/>
      </w:pPr>
      <w:rPr>
        <w:rFonts w:hint="default" w:ascii="Wingdings" w:hAnsi="Wingdings"/>
      </w:rPr>
    </w:lvl>
    <w:lvl w:ilvl="6" w:tentative="0">
      <w:start w:val="1"/>
      <w:numFmt w:val="bullet"/>
      <w:lvlText w:val=""/>
      <w:lvlJc w:val="left"/>
      <w:pPr>
        <w:ind w:left="3224" w:hanging="420"/>
      </w:pPr>
      <w:rPr>
        <w:rFonts w:hint="default" w:ascii="Wingdings" w:hAnsi="Wingdings"/>
      </w:rPr>
    </w:lvl>
    <w:lvl w:ilvl="7" w:tentative="0">
      <w:start w:val="1"/>
      <w:numFmt w:val="bullet"/>
      <w:lvlText w:val=""/>
      <w:lvlJc w:val="left"/>
      <w:pPr>
        <w:ind w:left="3644" w:hanging="420"/>
      </w:pPr>
      <w:rPr>
        <w:rFonts w:hint="default" w:ascii="Wingdings" w:hAnsi="Wingdings"/>
      </w:rPr>
    </w:lvl>
    <w:lvl w:ilvl="8" w:tentative="0">
      <w:start w:val="1"/>
      <w:numFmt w:val="bullet"/>
      <w:lvlText w:val=""/>
      <w:lvlJc w:val="left"/>
      <w:pPr>
        <w:ind w:left="4064"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0NjdjZmYyZDJiY2E5MDIxOTBhYTIwZDk4YTEyNTUifQ=="/>
  </w:docVars>
  <w:rsids>
    <w:rsidRoot w:val="00C92A87"/>
    <w:rsid w:val="0002554F"/>
    <w:rsid w:val="000A1244"/>
    <w:rsid w:val="00107DAA"/>
    <w:rsid w:val="001211C8"/>
    <w:rsid w:val="001406B5"/>
    <w:rsid w:val="001A1050"/>
    <w:rsid w:val="001E34C4"/>
    <w:rsid w:val="00217D20"/>
    <w:rsid w:val="00227D00"/>
    <w:rsid w:val="00262D6D"/>
    <w:rsid w:val="002921B7"/>
    <w:rsid w:val="002973BE"/>
    <w:rsid w:val="00383790"/>
    <w:rsid w:val="003D0335"/>
    <w:rsid w:val="00420FCC"/>
    <w:rsid w:val="00440F60"/>
    <w:rsid w:val="004F64B2"/>
    <w:rsid w:val="00711F20"/>
    <w:rsid w:val="00784B63"/>
    <w:rsid w:val="008512F0"/>
    <w:rsid w:val="008816FB"/>
    <w:rsid w:val="008F03CF"/>
    <w:rsid w:val="008F1555"/>
    <w:rsid w:val="00963239"/>
    <w:rsid w:val="009A107D"/>
    <w:rsid w:val="00A427DF"/>
    <w:rsid w:val="00A80F95"/>
    <w:rsid w:val="00B64C92"/>
    <w:rsid w:val="00B91D46"/>
    <w:rsid w:val="00C164D6"/>
    <w:rsid w:val="00C92A87"/>
    <w:rsid w:val="00CB645D"/>
    <w:rsid w:val="00D73840"/>
    <w:rsid w:val="00E00A0B"/>
    <w:rsid w:val="00E26A77"/>
    <w:rsid w:val="00E70E03"/>
    <w:rsid w:val="00F10D50"/>
    <w:rsid w:val="00F144A5"/>
    <w:rsid w:val="00F25DA4"/>
    <w:rsid w:val="00F57D81"/>
    <w:rsid w:val="00F71C79"/>
    <w:rsid w:val="021346B9"/>
    <w:rsid w:val="068555C9"/>
    <w:rsid w:val="07A00C11"/>
    <w:rsid w:val="0C2D57D1"/>
    <w:rsid w:val="199829F1"/>
    <w:rsid w:val="35B9585C"/>
    <w:rsid w:val="3A6542F9"/>
    <w:rsid w:val="431311DE"/>
    <w:rsid w:val="44AE1300"/>
    <w:rsid w:val="48BA3AC3"/>
    <w:rsid w:val="4CD9216E"/>
    <w:rsid w:val="4CDE2CA5"/>
    <w:rsid w:val="51D66F50"/>
    <w:rsid w:val="6B1F2C2C"/>
    <w:rsid w:val="710047B7"/>
    <w:rsid w:val="724E5769"/>
    <w:rsid w:val="743D6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Char"/>
    <w:basedOn w:val="5"/>
    <w:link w:val="3"/>
    <w:qFormat/>
    <w:uiPriority w:val="99"/>
    <w:rPr>
      <w:rFonts w:ascii="Times New Roman" w:hAnsi="Times New Roman" w:eastAsia="宋体" w:cs="Times New Roman"/>
      <w:kern w:val="2"/>
      <w:sz w:val="18"/>
      <w:szCs w:val="18"/>
    </w:rPr>
  </w:style>
  <w:style w:type="character" w:customStyle="1" w:styleId="8">
    <w:name w:val="页脚 Char"/>
    <w:basedOn w:val="5"/>
    <w:link w:val="2"/>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2616</Words>
  <Characters>2858</Characters>
  <Lines>8</Lines>
  <Paragraphs>2</Paragraphs>
  <TotalTime>1</TotalTime>
  <ScaleCrop>false</ScaleCrop>
  <LinksUpToDate>false</LinksUpToDate>
  <CharactersWithSpaces>2919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2022-04-10T08:07:00Z</dcterms:created>
  <dc:creator>俞冶论</dc:creator>
  <cp:lastModifiedBy>雨天给你打雨伞</cp:lastModifiedBy>
  <dcterms:modified xsi:type="dcterms:W3CDTF">2025-09-01T08:23:27Z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CDEE1B584F2C4DBA8EA4B16228161C1B_13</vt:lpwstr>
  </property>
  <property fmtid="{D5CDD505-2E9C-101B-9397-08002B2CF9AE}" pid="4" name="KSOTemplateDocerSaveRecord">
    <vt:lpwstr>eyJoZGlkIjoiNGFkMTkwY2Q2Y2IxOWY0ZjRkYWJlYjVhMTkzYmM3NDkiLCJ1c2VySWQiOiI2Mjc4MzQ0OTcifQ==</vt:lpwstr>
  </property>
</Properties>
</file>